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F5C2" w14:textId="5153D4E2" w:rsidR="008930A8" w:rsidRDefault="008930A8" w:rsidP="008930A8">
      <w:pPr>
        <w:pStyle w:val="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0898C088" wp14:editId="3D374241">
            <wp:extent cx="1771650" cy="879475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8C13A4E-5496-551C-0E43-EE39BA547F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8C13A4E-5496-551C-0E43-EE39BA547F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2021" cy="87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                            </w:t>
      </w:r>
    </w:p>
    <w:p w14:paraId="36322FA0" w14:textId="573F30D3" w:rsidR="00B9785A" w:rsidRPr="008930A8" w:rsidRDefault="00D14119" w:rsidP="002E08B2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8930A8">
        <w:rPr>
          <w:rFonts w:ascii="Arial" w:hAnsi="Arial" w:cs="Arial"/>
          <w:b/>
          <w:bCs/>
          <w:sz w:val="32"/>
          <w:szCs w:val="32"/>
        </w:rPr>
        <w:t>Southwest</w:t>
      </w:r>
      <w:r w:rsidR="002E534D" w:rsidRPr="008930A8">
        <w:rPr>
          <w:rFonts w:ascii="Arial" w:hAnsi="Arial" w:cs="Arial"/>
          <w:b/>
          <w:bCs/>
          <w:sz w:val="32"/>
          <w:szCs w:val="32"/>
        </w:rPr>
        <w:t xml:space="preserve"> </w:t>
      </w:r>
      <w:r w:rsidR="001A21CB" w:rsidRPr="008930A8">
        <w:rPr>
          <w:rFonts w:ascii="Arial" w:hAnsi="Arial" w:cs="Arial"/>
          <w:b/>
          <w:bCs/>
          <w:sz w:val="32"/>
          <w:szCs w:val="32"/>
        </w:rPr>
        <w:t>London</w:t>
      </w:r>
      <w:r w:rsidR="00DC7893" w:rsidRPr="008930A8">
        <w:rPr>
          <w:rFonts w:ascii="Arial" w:hAnsi="Arial" w:cs="Arial"/>
          <w:b/>
          <w:bCs/>
          <w:sz w:val="32"/>
          <w:szCs w:val="32"/>
        </w:rPr>
        <w:t xml:space="preserve"> ICS</w:t>
      </w:r>
      <w:r w:rsidR="001A21CB" w:rsidRPr="008930A8">
        <w:rPr>
          <w:rFonts w:ascii="Arial" w:hAnsi="Arial" w:cs="Arial"/>
          <w:b/>
          <w:bCs/>
          <w:sz w:val="32"/>
          <w:szCs w:val="32"/>
        </w:rPr>
        <w:t xml:space="preserve"> (S</w:t>
      </w:r>
      <w:r w:rsidR="002E534D" w:rsidRPr="008930A8">
        <w:rPr>
          <w:rFonts w:ascii="Arial" w:hAnsi="Arial" w:cs="Arial"/>
          <w:b/>
          <w:bCs/>
          <w:sz w:val="32"/>
          <w:szCs w:val="32"/>
        </w:rPr>
        <w:t>W</w:t>
      </w:r>
      <w:r w:rsidR="001A21CB" w:rsidRPr="008930A8">
        <w:rPr>
          <w:rFonts w:ascii="Arial" w:hAnsi="Arial" w:cs="Arial"/>
          <w:b/>
          <w:bCs/>
          <w:sz w:val="32"/>
          <w:szCs w:val="32"/>
        </w:rPr>
        <w:t>L)</w:t>
      </w:r>
      <w:r w:rsidR="009F2D29" w:rsidRPr="008930A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0D684DE" w14:textId="1C6F2E24" w:rsidR="00D14119" w:rsidRPr="008930A8" w:rsidRDefault="00D331B1" w:rsidP="00D14119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Health </w:t>
      </w:r>
      <w:r w:rsidR="001402EE">
        <w:rPr>
          <w:rFonts w:ascii="Arial" w:hAnsi="Arial" w:cs="Arial"/>
          <w:b/>
          <w:bCs/>
          <w:sz w:val="32"/>
          <w:szCs w:val="32"/>
        </w:rPr>
        <w:t>Equity</w:t>
      </w:r>
      <w:r w:rsidR="00990026">
        <w:rPr>
          <w:rFonts w:ascii="Arial" w:hAnsi="Arial" w:cs="Arial"/>
          <w:b/>
          <w:bCs/>
          <w:sz w:val="32"/>
          <w:szCs w:val="32"/>
        </w:rPr>
        <w:t xml:space="preserve"> Partnership</w:t>
      </w:r>
      <w:r>
        <w:rPr>
          <w:rFonts w:ascii="Arial" w:hAnsi="Arial" w:cs="Arial"/>
          <w:b/>
          <w:bCs/>
          <w:sz w:val="32"/>
          <w:szCs w:val="32"/>
        </w:rPr>
        <w:t xml:space="preserve"> Group</w:t>
      </w:r>
    </w:p>
    <w:p w14:paraId="7271974A" w14:textId="0E8DD701" w:rsidR="00EA42CA" w:rsidRPr="008930A8" w:rsidRDefault="009F2D29" w:rsidP="004962F3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8930A8">
        <w:rPr>
          <w:rFonts w:ascii="Arial" w:hAnsi="Arial" w:cs="Arial"/>
          <w:b/>
          <w:bCs/>
          <w:sz w:val="32"/>
          <w:szCs w:val="32"/>
        </w:rPr>
        <w:t>Terms of Reference</w:t>
      </w:r>
      <w:r w:rsidR="006D67A1">
        <w:rPr>
          <w:rFonts w:ascii="Arial" w:hAnsi="Arial" w:cs="Arial"/>
          <w:b/>
          <w:bCs/>
          <w:sz w:val="32"/>
          <w:szCs w:val="32"/>
        </w:rPr>
        <w:t xml:space="preserve"> 202</w:t>
      </w:r>
      <w:r w:rsidR="00CC2828">
        <w:rPr>
          <w:rFonts w:ascii="Arial" w:hAnsi="Arial" w:cs="Arial"/>
          <w:b/>
          <w:bCs/>
          <w:sz w:val="32"/>
          <w:szCs w:val="32"/>
        </w:rPr>
        <w:t>4/25</w:t>
      </w:r>
    </w:p>
    <w:p w14:paraId="3F35A4AC" w14:textId="2A438B3E" w:rsidR="00397322" w:rsidRDefault="009F2D29" w:rsidP="00397322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971EEB">
        <w:rPr>
          <w:rFonts w:ascii="Arial" w:hAnsi="Arial" w:cs="Arial"/>
          <w:b/>
          <w:bCs/>
          <w:sz w:val="24"/>
          <w:szCs w:val="24"/>
        </w:rPr>
        <w:t>Purpose</w:t>
      </w:r>
    </w:p>
    <w:p w14:paraId="6449B473" w14:textId="5FD38C2B" w:rsidR="00810F14" w:rsidRDefault="00810F14" w:rsidP="00C36EB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DC5D95">
        <w:rPr>
          <w:rFonts w:ascii="Arial" w:hAnsi="Arial" w:cs="Arial"/>
        </w:rPr>
        <w:t xml:space="preserve">To </w:t>
      </w:r>
      <w:r w:rsidR="00C36EBE">
        <w:rPr>
          <w:rFonts w:ascii="Arial" w:hAnsi="Arial" w:cs="Arial"/>
        </w:rPr>
        <w:t xml:space="preserve">work </w:t>
      </w:r>
      <w:r w:rsidR="002A3E8C">
        <w:rPr>
          <w:rFonts w:ascii="Arial" w:hAnsi="Arial" w:cs="Arial"/>
        </w:rPr>
        <w:t>together to increase</w:t>
      </w:r>
      <w:r w:rsidR="00C36EBE">
        <w:rPr>
          <w:rFonts w:ascii="Arial" w:hAnsi="Arial" w:cs="Arial"/>
        </w:rPr>
        <w:t xml:space="preserve"> health equity in Southwest London (SWL).  </w:t>
      </w:r>
      <w:r w:rsidR="00876126">
        <w:rPr>
          <w:rFonts w:ascii="Arial" w:hAnsi="Arial" w:cs="Arial"/>
        </w:rPr>
        <w:t xml:space="preserve">We will do this by tackling health inequalities, health disparities and healthcare inequalities </w:t>
      </w:r>
      <w:r w:rsidR="003478C3">
        <w:rPr>
          <w:rFonts w:ascii="Arial" w:hAnsi="Arial" w:cs="Arial"/>
        </w:rPr>
        <w:t xml:space="preserve">so that every SWL resident irrespective of who they are or where they live are enabled to </w:t>
      </w:r>
      <w:r w:rsidR="00662FA9">
        <w:rPr>
          <w:rFonts w:ascii="Arial" w:hAnsi="Arial" w:cs="Arial"/>
        </w:rPr>
        <w:t xml:space="preserve">live longer, healthier and enjoy a </w:t>
      </w:r>
      <w:r w:rsidR="00FC62DB">
        <w:rPr>
          <w:rFonts w:ascii="Arial" w:hAnsi="Arial" w:cs="Arial"/>
        </w:rPr>
        <w:t>good</w:t>
      </w:r>
      <w:r w:rsidR="00662FA9">
        <w:rPr>
          <w:rFonts w:ascii="Arial" w:hAnsi="Arial" w:cs="Arial"/>
        </w:rPr>
        <w:t xml:space="preserve"> quality of life. </w:t>
      </w:r>
      <w:r w:rsidR="00C36EBE">
        <w:rPr>
          <w:rFonts w:ascii="Arial" w:hAnsi="Arial" w:cs="Arial"/>
        </w:rPr>
        <w:t xml:space="preserve"> </w:t>
      </w:r>
    </w:p>
    <w:p w14:paraId="32783354" w14:textId="77777777" w:rsidR="001C45B0" w:rsidRPr="00DC5D95" w:rsidRDefault="001C45B0" w:rsidP="00EC0B49">
      <w:pPr>
        <w:pStyle w:val="ListParagraph"/>
        <w:rPr>
          <w:rFonts w:ascii="Arial" w:hAnsi="Arial" w:cs="Arial"/>
        </w:rPr>
      </w:pPr>
    </w:p>
    <w:p w14:paraId="64449945" w14:textId="53DCF028" w:rsidR="00990026" w:rsidRDefault="002A3E8C" w:rsidP="00397322">
      <w:pPr>
        <w:pStyle w:val="Heading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is</w:t>
      </w:r>
      <w:r w:rsidR="0061791B">
        <w:rPr>
          <w:rFonts w:ascii="Arial" w:hAnsi="Arial" w:cs="Arial"/>
          <w:b/>
          <w:bCs/>
          <w:sz w:val="24"/>
          <w:szCs w:val="24"/>
        </w:rPr>
        <w:t xml:space="preserve"> Health Equity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156F726B" w14:textId="77777777" w:rsidR="00AB0BC1" w:rsidRPr="00B70C44" w:rsidRDefault="00AB0BC1" w:rsidP="00AB0BC1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B0BC1">
        <w:rPr>
          <w:rFonts w:ascii="Arial" w:hAnsi="Arial" w:cs="Arial"/>
        </w:rPr>
        <w:t>Health inequalities and health inequities are often used interchangeably but have particular and distinct meanings.</w:t>
      </w:r>
    </w:p>
    <w:p w14:paraId="7D18FB4C" w14:textId="246F8C5E" w:rsidR="00B60E73" w:rsidRDefault="00CC5401" w:rsidP="00B60E7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70C44">
        <w:rPr>
          <w:rFonts w:ascii="Arial" w:hAnsi="Arial" w:cs="Arial"/>
        </w:rPr>
        <w:t xml:space="preserve">World Health Organisation defines </w:t>
      </w:r>
      <w:r w:rsidR="00B60E73" w:rsidRPr="00B70C44">
        <w:rPr>
          <w:rFonts w:ascii="Arial" w:hAnsi="Arial" w:cs="Arial"/>
          <w:b/>
          <w:bCs/>
        </w:rPr>
        <w:t>H</w:t>
      </w:r>
      <w:r w:rsidR="00B60E73" w:rsidRPr="00B60E73">
        <w:rPr>
          <w:rFonts w:ascii="Arial" w:hAnsi="Arial" w:cs="Arial"/>
          <w:b/>
          <w:bCs/>
        </w:rPr>
        <w:t xml:space="preserve">ealth </w:t>
      </w:r>
      <w:r w:rsidR="00BE6772" w:rsidRPr="00B70C44">
        <w:rPr>
          <w:rFonts w:ascii="Arial" w:hAnsi="Arial" w:cs="Arial"/>
          <w:b/>
          <w:bCs/>
        </w:rPr>
        <w:t>E</w:t>
      </w:r>
      <w:r w:rsidR="00B60E73" w:rsidRPr="00B60E73">
        <w:rPr>
          <w:rFonts w:ascii="Arial" w:hAnsi="Arial" w:cs="Arial"/>
          <w:b/>
          <w:bCs/>
        </w:rPr>
        <w:t>quity</w:t>
      </w:r>
      <w:r w:rsidR="00B60E73" w:rsidRPr="00B60E73">
        <w:rPr>
          <w:rFonts w:ascii="Arial" w:hAnsi="Arial" w:cs="Arial"/>
        </w:rPr>
        <w:t xml:space="preserve"> as “the absence of unfair and avoidable (or remediable) differences in health among population groups defined socially, economically, demographically or geographically.”  </w:t>
      </w:r>
    </w:p>
    <w:p w14:paraId="07F56084" w14:textId="6DAD232D" w:rsidR="000B6FC7" w:rsidRPr="00B60E73" w:rsidRDefault="000B6FC7" w:rsidP="00B60E7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Health equity is achieved through reduction of health inequalities, health disparities and healthcare inequalities. </w:t>
      </w:r>
    </w:p>
    <w:p w14:paraId="61C37E09" w14:textId="25E8EB65" w:rsidR="00AB0BC1" w:rsidRPr="00AB0BC1" w:rsidRDefault="00AB0BC1" w:rsidP="005B0688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B0BC1">
        <w:rPr>
          <w:rFonts w:ascii="Arial" w:hAnsi="Arial" w:cs="Arial"/>
          <w:b/>
          <w:bCs/>
        </w:rPr>
        <w:t>Health inequalities</w:t>
      </w:r>
      <w:r w:rsidRPr="00AB0BC1">
        <w:rPr>
          <w:rFonts w:ascii="Arial" w:hAnsi="Arial" w:cs="Arial"/>
        </w:rPr>
        <w:t xml:space="preserve"> refers to the differences in health outcomes between different population subgroups such as differences in how long we live</w:t>
      </w:r>
      <w:r w:rsidR="00686A28">
        <w:rPr>
          <w:rFonts w:ascii="Arial" w:hAnsi="Arial" w:cs="Arial"/>
        </w:rPr>
        <w:t xml:space="preserve"> or how long we expect to be healthy</w:t>
      </w:r>
      <w:r w:rsidRPr="00AB0BC1">
        <w:rPr>
          <w:rFonts w:ascii="Arial" w:hAnsi="Arial" w:cs="Arial"/>
        </w:rPr>
        <w:t xml:space="preserve">. </w:t>
      </w:r>
      <w:r w:rsidR="00BE6772" w:rsidRPr="00B70C44">
        <w:rPr>
          <w:rFonts w:ascii="Arial" w:hAnsi="Arial" w:cs="Arial"/>
        </w:rPr>
        <w:t>These i</w:t>
      </w:r>
      <w:r w:rsidRPr="00AB0BC1">
        <w:rPr>
          <w:rFonts w:ascii="Arial" w:hAnsi="Arial" w:cs="Arial"/>
        </w:rPr>
        <w:t xml:space="preserve">nequalities can occur across several demographics: gender, age, ethnicity, socio-economic groups, geography, religion, sexual preference etc.   </w:t>
      </w:r>
      <w:r w:rsidR="00464446">
        <w:rPr>
          <w:rFonts w:ascii="Arial" w:hAnsi="Arial" w:cs="Arial"/>
        </w:rPr>
        <w:t>To reduce health inequalities</w:t>
      </w:r>
      <w:r w:rsidR="00DE02F8">
        <w:rPr>
          <w:rFonts w:ascii="Arial" w:hAnsi="Arial" w:cs="Arial"/>
        </w:rPr>
        <w:t xml:space="preserve"> in SWL, </w:t>
      </w:r>
      <w:r w:rsidR="00464446">
        <w:rPr>
          <w:rFonts w:ascii="Arial" w:hAnsi="Arial" w:cs="Arial"/>
        </w:rPr>
        <w:t xml:space="preserve">we </w:t>
      </w:r>
      <w:r w:rsidR="003A43D5">
        <w:rPr>
          <w:rFonts w:ascii="Arial" w:hAnsi="Arial" w:cs="Arial"/>
        </w:rPr>
        <w:t>will</w:t>
      </w:r>
      <w:r w:rsidR="0043108F">
        <w:rPr>
          <w:rFonts w:ascii="Arial" w:hAnsi="Arial" w:cs="Arial"/>
        </w:rPr>
        <w:t xml:space="preserve"> </w:t>
      </w:r>
      <w:r w:rsidR="00DE02F8">
        <w:rPr>
          <w:rFonts w:ascii="Arial" w:hAnsi="Arial" w:cs="Arial"/>
        </w:rPr>
        <w:t>work together to t</w:t>
      </w:r>
      <w:r w:rsidR="00464446">
        <w:rPr>
          <w:rFonts w:ascii="Arial" w:hAnsi="Arial" w:cs="Arial"/>
        </w:rPr>
        <w:t xml:space="preserve">arget the wider determinants of health </w:t>
      </w:r>
      <w:r w:rsidR="00DE02F8">
        <w:rPr>
          <w:rFonts w:ascii="Arial" w:hAnsi="Arial" w:cs="Arial"/>
        </w:rPr>
        <w:t>such as</w:t>
      </w:r>
      <w:r w:rsidR="00191E0E">
        <w:rPr>
          <w:rFonts w:ascii="Arial" w:hAnsi="Arial" w:cs="Arial"/>
        </w:rPr>
        <w:t xml:space="preserve"> </w:t>
      </w:r>
      <w:r w:rsidR="008D2A59">
        <w:rPr>
          <w:rFonts w:ascii="Arial" w:hAnsi="Arial" w:cs="Arial"/>
        </w:rPr>
        <w:t xml:space="preserve">environment, education, </w:t>
      </w:r>
      <w:r w:rsidR="008B766E">
        <w:rPr>
          <w:rFonts w:ascii="Arial" w:hAnsi="Arial" w:cs="Arial"/>
        </w:rPr>
        <w:t xml:space="preserve">income, </w:t>
      </w:r>
      <w:r w:rsidR="00DE02F8">
        <w:rPr>
          <w:rFonts w:ascii="Arial" w:hAnsi="Arial" w:cs="Arial"/>
        </w:rPr>
        <w:t>employment, social and community networks</w:t>
      </w:r>
      <w:r w:rsidR="008B766E">
        <w:rPr>
          <w:rFonts w:ascii="Arial" w:hAnsi="Arial" w:cs="Arial"/>
        </w:rPr>
        <w:t xml:space="preserve"> and </w:t>
      </w:r>
      <w:r w:rsidR="00191E0E">
        <w:rPr>
          <w:rFonts w:ascii="Arial" w:hAnsi="Arial" w:cs="Arial"/>
        </w:rPr>
        <w:t xml:space="preserve">commercial determinants. </w:t>
      </w:r>
    </w:p>
    <w:p w14:paraId="5D9AEB7D" w14:textId="2F7F9A71" w:rsidR="00990026" w:rsidRPr="00B70C44" w:rsidRDefault="007B5361" w:rsidP="00BB02C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70C44">
        <w:rPr>
          <w:rFonts w:ascii="Arial" w:hAnsi="Arial" w:cs="Arial"/>
          <w:b/>
          <w:bCs/>
        </w:rPr>
        <w:t>Health disparities</w:t>
      </w:r>
      <w:r w:rsidRPr="00B70C44">
        <w:rPr>
          <w:rFonts w:ascii="Arial" w:hAnsi="Arial" w:cs="Arial"/>
        </w:rPr>
        <w:t xml:space="preserve"> </w:t>
      </w:r>
      <w:r w:rsidRPr="007B5361">
        <w:rPr>
          <w:rFonts w:ascii="Arial" w:hAnsi="Arial" w:cs="Arial"/>
        </w:rPr>
        <w:t>refers to a particular type of health difference that is closely linked with social, economic and/or environmental disadvantage and is linked to groups of people who have systematically experienced greater obstacles to health</w:t>
      </w:r>
      <w:r w:rsidR="00B70C44" w:rsidRPr="00B70C44">
        <w:rPr>
          <w:rFonts w:ascii="Arial" w:hAnsi="Arial" w:cs="Arial"/>
        </w:rPr>
        <w:t xml:space="preserve">. </w:t>
      </w:r>
      <w:r w:rsidRPr="00B70C44">
        <w:rPr>
          <w:rFonts w:ascii="Arial" w:hAnsi="Arial" w:cs="Arial"/>
        </w:rPr>
        <w:t>Examples include the homeless, Roma, gypsy and traveller communities, sex workers, boating community and offenders/former offenders</w:t>
      </w:r>
      <w:r w:rsidR="00B70C44" w:rsidRPr="00B70C44">
        <w:rPr>
          <w:rFonts w:ascii="Arial" w:hAnsi="Arial" w:cs="Arial"/>
        </w:rPr>
        <w:t>.</w:t>
      </w:r>
      <w:r w:rsidRPr="00B70C44">
        <w:rPr>
          <w:rFonts w:ascii="Arial" w:hAnsi="Arial" w:cs="Arial"/>
        </w:rPr>
        <w:t> </w:t>
      </w:r>
      <w:r w:rsidR="00F3197E">
        <w:rPr>
          <w:rFonts w:ascii="Arial" w:hAnsi="Arial" w:cs="Arial"/>
        </w:rPr>
        <w:t>In SWL, we will work with affected communities to increase health li</w:t>
      </w:r>
      <w:r w:rsidR="003A71C4">
        <w:rPr>
          <w:rFonts w:ascii="Arial" w:hAnsi="Arial" w:cs="Arial"/>
        </w:rPr>
        <w:t xml:space="preserve">teracy and advance </w:t>
      </w:r>
      <w:r w:rsidR="00740BC2">
        <w:rPr>
          <w:rFonts w:ascii="Arial" w:hAnsi="Arial" w:cs="Arial"/>
        </w:rPr>
        <w:t>health equity</w:t>
      </w:r>
      <w:r w:rsidR="002C1969">
        <w:rPr>
          <w:rFonts w:ascii="Arial" w:hAnsi="Arial" w:cs="Arial"/>
        </w:rPr>
        <w:t xml:space="preserve"> within those communities</w:t>
      </w:r>
      <w:r w:rsidR="00740BC2">
        <w:rPr>
          <w:rFonts w:ascii="Arial" w:hAnsi="Arial" w:cs="Arial"/>
        </w:rPr>
        <w:t xml:space="preserve">. </w:t>
      </w:r>
    </w:p>
    <w:p w14:paraId="0E9CAF8D" w14:textId="174D3C9E" w:rsidR="00B70C44" w:rsidRPr="00B70C44" w:rsidRDefault="008965EA" w:rsidP="00BB02C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965EA">
        <w:rPr>
          <w:rFonts w:ascii="Arial" w:hAnsi="Arial" w:cs="Arial"/>
          <w:b/>
          <w:bCs/>
        </w:rPr>
        <w:t>Healthcare inequalities</w:t>
      </w:r>
      <w:r>
        <w:rPr>
          <w:rFonts w:ascii="Arial" w:hAnsi="Arial" w:cs="Arial"/>
        </w:rPr>
        <w:t xml:space="preserve"> refers to the </w:t>
      </w:r>
      <w:r w:rsidRPr="008965EA">
        <w:rPr>
          <w:rFonts w:ascii="Arial" w:hAnsi="Arial" w:cs="Arial"/>
        </w:rPr>
        <w:t>differences in rates of access/usage o</w:t>
      </w:r>
      <w:r w:rsidR="002961B2">
        <w:rPr>
          <w:rFonts w:ascii="Arial" w:hAnsi="Arial" w:cs="Arial"/>
        </w:rPr>
        <w:t>f</w:t>
      </w:r>
      <w:r w:rsidRPr="008965EA">
        <w:rPr>
          <w:rFonts w:ascii="Arial" w:hAnsi="Arial" w:cs="Arial"/>
        </w:rPr>
        <w:t xml:space="preserve"> services between population sub-groups</w:t>
      </w:r>
      <w:r>
        <w:rPr>
          <w:rFonts w:ascii="Arial" w:hAnsi="Arial" w:cs="Arial"/>
        </w:rPr>
        <w:t>.</w:t>
      </w:r>
      <w:r w:rsidR="00DE3D51">
        <w:rPr>
          <w:rFonts w:ascii="Arial" w:hAnsi="Arial" w:cs="Arial"/>
        </w:rPr>
        <w:t xml:space="preserve"> In SWL, we want to achieve a</w:t>
      </w:r>
      <w:r w:rsidR="00DE3D51" w:rsidRPr="00DE3D51">
        <w:rPr>
          <w:rFonts w:ascii="Arial" w:hAnsi="Arial" w:cs="Arial"/>
        </w:rPr>
        <w:t>n equitable distribution of services</w:t>
      </w:r>
      <w:r w:rsidR="00786BD5">
        <w:rPr>
          <w:rFonts w:ascii="Arial" w:hAnsi="Arial" w:cs="Arial"/>
        </w:rPr>
        <w:t xml:space="preserve">.  This is where </w:t>
      </w:r>
      <w:r w:rsidR="00DE3D51" w:rsidRPr="00DE3D51">
        <w:rPr>
          <w:rFonts w:ascii="Arial" w:hAnsi="Arial" w:cs="Arial"/>
        </w:rPr>
        <w:t>rates of access to a service follows the distribution of need</w:t>
      </w:r>
      <w:r w:rsidR="00786BD5">
        <w:rPr>
          <w:rFonts w:ascii="Arial" w:hAnsi="Arial" w:cs="Arial"/>
        </w:rPr>
        <w:t xml:space="preserve"> – i.e.</w:t>
      </w:r>
      <w:r w:rsidR="00DE3D51" w:rsidRPr="00DE3D51">
        <w:rPr>
          <w:rFonts w:ascii="Arial" w:hAnsi="Arial" w:cs="Arial"/>
        </w:rPr>
        <w:t xml:space="preserve"> a patient with a given level of need in one sub-group has the same chance of accessing a service as their counterpart with a similar level of need in other subgroups</w:t>
      </w:r>
      <w:r w:rsidR="002961B2">
        <w:rPr>
          <w:rFonts w:ascii="Arial" w:hAnsi="Arial" w:cs="Arial"/>
        </w:rPr>
        <w:t>.</w:t>
      </w:r>
    </w:p>
    <w:p w14:paraId="5E19B859" w14:textId="545537A5" w:rsidR="00397322" w:rsidRPr="00971EEB" w:rsidRDefault="00397322" w:rsidP="00397322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971EEB">
        <w:rPr>
          <w:rFonts w:ascii="Arial" w:hAnsi="Arial" w:cs="Arial"/>
          <w:b/>
          <w:bCs/>
          <w:sz w:val="24"/>
          <w:szCs w:val="24"/>
        </w:rPr>
        <w:t xml:space="preserve">Aims </w:t>
      </w:r>
    </w:p>
    <w:p w14:paraId="35115D3C" w14:textId="3206EA32" w:rsidR="000067B1" w:rsidRPr="00F833D3" w:rsidRDefault="000067B1" w:rsidP="000067B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41443881"/>
      <w:r w:rsidRPr="00F833D3">
        <w:rPr>
          <w:rFonts w:ascii="Arial" w:hAnsi="Arial" w:cs="Arial"/>
        </w:rPr>
        <w:t xml:space="preserve">To plan, implement and monitor the relevant deliverables of the </w:t>
      </w:r>
      <w:r>
        <w:rPr>
          <w:rFonts w:ascii="Arial" w:hAnsi="Arial" w:cs="Arial"/>
        </w:rPr>
        <w:t xml:space="preserve">SWL </w:t>
      </w:r>
      <w:r w:rsidRPr="00F833D3">
        <w:rPr>
          <w:rFonts w:ascii="Arial" w:hAnsi="Arial" w:cs="Arial"/>
        </w:rPr>
        <w:t>Joint Forward Plan</w:t>
      </w:r>
      <w:r>
        <w:rPr>
          <w:rFonts w:ascii="Arial" w:hAnsi="Arial" w:cs="Arial"/>
        </w:rPr>
        <w:t xml:space="preserve"> and </w:t>
      </w:r>
      <w:r w:rsidRPr="00F833D3">
        <w:rPr>
          <w:rFonts w:ascii="Arial" w:hAnsi="Arial" w:cs="Arial"/>
        </w:rPr>
        <w:t xml:space="preserve">the Integrated Care Partnership </w:t>
      </w:r>
      <w:r>
        <w:rPr>
          <w:rFonts w:ascii="Arial" w:hAnsi="Arial" w:cs="Arial"/>
        </w:rPr>
        <w:t xml:space="preserve">Strategy. </w:t>
      </w:r>
    </w:p>
    <w:p w14:paraId="644222A5" w14:textId="222E6EFF" w:rsidR="00DE4EC1" w:rsidRPr="00F833D3" w:rsidRDefault="009A4D66" w:rsidP="00DE4EC1">
      <w:pPr>
        <w:pStyle w:val="Default"/>
        <w:numPr>
          <w:ilvl w:val="0"/>
          <w:numId w:val="21"/>
        </w:numPr>
        <w:spacing w:after="15"/>
        <w:rPr>
          <w:color w:val="auto"/>
          <w:sz w:val="22"/>
          <w:szCs w:val="22"/>
        </w:rPr>
      </w:pPr>
      <w:r w:rsidRPr="00F833D3">
        <w:rPr>
          <w:color w:val="auto"/>
          <w:sz w:val="22"/>
          <w:szCs w:val="22"/>
        </w:rPr>
        <w:t xml:space="preserve">To </w:t>
      </w:r>
      <w:r w:rsidR="00A43FB1" w:rsidRPr="00F833D3">
        <w:rPr>
          <w:color w:val="auto"/>
          <w:sz w:val="22"/>
          <w:szCs w:val="22"/>
        </w:rPr>
        <w:t xml:space="preserve">strive for health equity by </w:t>
      </w:r>
      <w:r w:rsidR="00666358" w:rsidRPr="00F833D3">
        <w:rPr>
          <w:color w:val="auto"/>
          <w:sz w:val="22"/>
          <w:szCs w:val="22"/>
        </w:rPr>
        <w:t>delivering</w:t>
      </w:r>
      <w:r w:rsidR="00DE4EC1" w:rsidRPr="00F833D3">
        <w:rPr>
          <w:color w:val="auto"/>
          <w:sz w:val="22"/>
          <w:szCs w:val="22"/>
        </w:rPr>
        <w:t xml:space="preserve"> the strategic vision and priorities for the Health Inequalities programme across the SWL ICS, including</w:t>
      </w:r>
      <w:r w:rsidR="00B85C37" w:rsidRPr="00F833D3">
        <w:rPr>
          <w:color w:val="auto"/>
          <w:sz w:val="22"/>
          <w:szCs w:val="22"/>
        </w:rPr>
        <w:t xml:space="preserve"> </w:t>
      </w:r>
      <w:r w:rsidR="00783739" w:rsidRPr="00F833D3">
        <w:rPr>
          <w:color w:val="auto"/>
          <w:sz w:val="22"/>
          <w:szCs w:val="22"/>
        </w:rPr>
        <w:t>the Core20PLUS5</w:t>
      </w:r>
      <w:r w:rsidR="00DE4EC1" w:rsidRPr="00F833D3">
        <w:rPr>
          <w:color w:val="auto"/>
          <w:sz w:val="22"/>
          <w:szCs w:val="22"/>
        </w:rPr>
        <w:t>.</w:t>
      </w:r>
    </w:p>
    <w:p w14:paraId="03B8AAE0" w14:textId="4902A6CB" w:rsidR="00DF1132" w:rsidRPr="00F833D3" w:rsidRDefault="00DF1132" w:rsidP="00DF113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33D3">
        <w:rPr>
          <w:rFonts w:ascii="Arial" w:hAnsi="Arial" w:cs="Arial"/>
        </w:rPr>
        <w:lastRenderedPageBreak/>
        <w:t>To provide collective strategic leadership, direction and oversight for the improvement of population health in SWL including the embedding of the NHS Long Term Plan’s aims on prevention</w:t>
      </w:r>
      <w:r w:rsidR="00C53D35" w:rsidRPr="00F833D3">
        <w:rPr>
          <w:rFonts w:ascii="Arial" w:hAnsi="Arial" w:cs="Arial"/>
        </w:rPr>
        <w:t xml:space="preserve"> at place and system levels.</w:t>
      </w:r>
    </w:p>
    <w:bookmarkEnd w:id="0"/>
    <w:p w14:paraId="4BDBCD8A" w14:textId="5742F053" w:rsidR="007F31F7" w:rsidRDefault="007F31F7" w:rsidP="0082400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0B6390">
        <w:rPr>
          <w:rFonts w:ascii="Arial" w:hAnsi="Arial" w:cs="Arial"/>
        </w:rPr>
        <w:t xml:space="preserve">work together as a partnership across system and </w:t>
      </w:r>
      <w:r w:rsidR="002D2D6B">
        <w:rPr>
          <w:rFonts w:ascii="Arial" w:hAnsi="Arial" w:cs="Arial"/>
        </w:rPr>
        <w:t>p</w:t>
      </w:r>
      <w:r w:rsidR="000B6390">
        <w:rPr>
          <w:rFonts w:ascii="Arial" w:hAnsi="Arial" w:cs="Arial"/>
        </w:rPr>
        <w:t xml:space="preserve">lace to </w:t>
      </w:r>
      <w:r>
        <w:rPr>
          <w:rFonts w:ascii="Arial" w:hAnsi="Arial" w:cs="Arial"/>
        </w:rPr>
        <w:t>ensure that all local residents and workers can Start Well, Live Well and Age Well no matter who they are and what part of SWL they live in</w:t>
      </w:r>
      <w:r w:rsidR="00D31310">
        <w:rPr>
          <w:rFonts w:ascii="Arial" w:hAnsi="Arial" w:cs="Arial"/>
        </w:rPr>
        <w:t>.</w:t>
      </w:r>
    </w:p>
    <w:p w14:paraId="304A3D59" w14:textId="1EA21A68" w:rsidR="0082400F" w:rsidRDefault="0082400F" w:rsidP="0082400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contribute to the integrated care system’s aims of </w:t>
      </w:r>
    </w:p>
    <w:p w14:paraId="2B205F8B" w14:textId="77777777" w:rsidR="0082400F" w:rsidRDefault="0082400F" w:rsidP="0082400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D616CF">
        <w:rPr>
          <w:rFonts w:ascii="Arial" w:hAnsi="Arial" w:cs="Arial"/>
        </w:rPr>
        <w:t>Improving population health and healthcare</w:t>
      </w:r>
      <w:r>
        <w:rPr>
          <w:rFonts w:ascii="Arial" w:hAnsi="Arial" w:cs="Arial"/>
        </w:rPr>
        <w:t xml:space="preserve"> </w:t>
      </w:r>
    </w:p>
    <w:p w14:paraId="13FE13AB" w14:textId="77777777" w:rsidR="0082400F" w:rsidRPr="00D616CF" w:rsidRDefault="0082400F" w:rsidP="0082400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D616CF">
        <w:rPr>
          <w:rFonts w:ascii="Arial" w:hAnsi="Arial" w:cs="Arial"/>
        </w:rPr>
        <w:t>Tackling unequal access and outcomes</w:t>
      </w:r>
    </w:p>
    <w:p w14:paraId="15453521" w14:textId="77777777" w:rsidR="0082400F" w:rsidRDefault="0082400F" w:rsidP="0082400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30407D">
        <w:rPr>
          <w:rFonts w:ascii="Arial" w:hAnsi="Arial" w:cs="Arial"/>
        </w:rPr>
        <w:t>Enhancing productivity and value for money</w:t>
      </w:r>
    </w:p>
    <w:p w14:paraId="1B13FAB2" w14:textId="77777777" w:rsidR="0082400F" w:rsidRPr="0030407D" w:rsidRDefault="0082400F" w:rsidP="0082400F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30407D">
        <w:rPr>
          <w:rFonts w:ascii="Arial" w:hAnsi="Arial" w:cs="Arial"/>
        </w:rPr>
        <w:t>Helping the NHS support broader social and economic development</w:t>
      </w:r>
    </w:p>
    <w:p w14:paraId="7A3ED53C" w14:textId="2EFDC5AE" w:rsidR="009F2D29" w:rsidRDefault="00D61DC8" w:rsidP="000D3145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971EEB">
        <w:rPr>
          <w:rFonts w:ascii="Arial" w:hAnsi="Arial" w:cs="Arial"/>
          <w:b/>
          <w:bCs/>
          <w:sz w:val="24"/>
          <w:szCs w:val="24"/>
        </w:rPr>
        <w:t>Objectives</w:t>
      </w:r>
    </w:p>
    <w:p w14:paraId="7302A631" w14:textId="1F2819E0" w:rsidR="00DD7265" w:rsidRDefault="00DD7265" w:rsidP="00A02FE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7D592D">
        <w:rPr>
          <w:rFonts w:ascii="Arial" w:hAnsi="Arial" w:cs="Arial"/>
        </w:rPr>
        <w:t>deliver</w:t>
      </w:r>
      <w:r w:rsidR="00C851FC">
        <w:rPr>
          <w:rFonts w:ascii="Arial" w:hAnsi="Arial" w:cs="Arial"/>
        </w:rPr>
        <w:t xml:space="preserve"> </w:t>
      </w:r>
      <w:r w:rsidR="007D592D">
        <w:rPr>
          <w:rFonts w:ascii="Arial" w:hAnsi="Arial" w:cs="Arial"/>
        </w:rPr>
        <w:t>the aims of the ICP strategy</w:t>
      </w:r>
      <w:r w:rsidR="00C851FC">
        <w:rPr>
          <w:rFonts w:ascii="Arial" w:hAnsi="Arial" w:cs="Arial"/>
        </w:rPr>
        <w:t xml:space="preserve"> and monitor the progress being made</w:t>
      </w:r>
      <w:r w:rsidR="007D592D">
        <w:rPr>
          <w:rFonts w:ascii="Arial" w:hAnsi="Arial" w:cs="Arial"/>
        </w:rPr>
        <w:t xml:space="preserve"> on </w:t>
      </w:r>
      <w:r w:rsidR="00C851FC">
        <w:rPr>
          <w:rFonts w:ascii="Arial" w:hAnsi="Arial" w:cs="Arial"/>
        </w:rPr>
        <w:t xml:space="preserve">the </w:t>
      </w:r>
      <w:r w:rsidR="007D592D">
        <w:rPr>
          <w:rFonts w:ascii="Arial" w:hAnsi="Arial" w:cs="Arial"/>
        </w:rPr>
        <w:t>reduction of health inequalities and prevention:</w:t>
      </w:r>
    </w:p>
    <w:p w14:paraId="07437709" w14:textId="56C23F3E" w:rsidR="007D592D" w:rsidRDefault="00223FCB" w:rsidP="007D592D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Addressing the wider determinants of health and well-being</w:t>
      </w:r>
    </w:p>
    <w:p w14:paraId="46B4A7BA" w14:textId="4A403513" w:rsidR="00223FCB" w:rsidRDefault="00223FCB" w:rsidP="007D592D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Scaling up innovation to improve outcomes for people in our most deprived areas and our most vulnerable people </w:t>
      </w:r>
    </w:p>
    <w:p w14:paraId="04D33AAE" w14:textId="3E55AF9B" w:rsidR="00223FCB" w:rsidRDefault="00223FCB" w:rsidP="007D592D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Empowering our communities to improve their health and well-being</w:t>
      </w:r>
    </w:p>
    <w:p w14:paraId="69AF4B0D" w14:textId="15DB31AD" w:rsidR="00B46B70" w:rsidRDefault="00B46B70" w:rsidP="007D592D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Developing a whole-system approach to healthy weight and reducing obesity</w:t>
      </w:r>
    </w:p>
    <w:p w14:paraId="3F477967" w14:textId="074B9B5C" w:rsidR="00B46B70" w:rsidRDefault="008B5012" w:rsidP="007D592D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Maximising the ability of the voluntary and community sector to support people to lead healthier lifestyles </w:t>
      </w:r>
    </w:p>
    <w:p w14:paraId="121C1293" w14:textId="64C45D2B" w:rsidR="008B5012" w:rsidRDefault="008B5012" w:rsidP="007D592D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Developing personalised self-care for people with long-term conditions </w:t>
      </w:r>
    </w:p>
    <w:p w14:paraId="44BDC97E" w14:textId="5C5F9A5B" w:rsidR="00662664" w:rsidRDefault="00662664" w:rsidP="00097E22">
      <w:pPr>
        <w:pStyle w:val="ListParagraph"/>
        <w:numPr>
          <w:ilvl w:val="0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To deliver the aims</w:t>
      </w:r>
      <w:r w:rsidR="009E6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Joint Forward Plan</w:t>
      </w:r>
      <w:r w:rsidR="009E655F">
        <w:rPr>
          <w:rFonts w:ascii="Arial" w:hAnsi="Arial" w:cs="Arial"/>
        </w:rPr>
        <w:t xml:space="preserve"> on </w:t>
      </w:r>
      <w:r w:rsidR="00587F4F">
        <w:rPr>
          <w:rFonts w:ascii="Arial" w:hAnsi="Arial" w:cs="Arial"/>
        </w:rPr>
        <w:t>health inequalities and prevention and monitor the progress being made</w:t>
      </w:r>
      <w:r>
        <w:rPr>
          <w:rFonts w:ascii="Arial" w:hAnsi="Arial" w:cs="Arial"/>
        </w:rPr>
        <w:t>:</w:t>
      </w:r>
    </w:p>
    <w:p w14:paraId="41BFCA43" w14:textId="53EF1628" w:rsidR="00911E14" w:rsidRDefault="00911E14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Improving outcomes for our children, young people and adults in the Core20PLUS5 populat</w:t>
      </w:r>
      <w:r w:rsidR="000C6DDF">
        <w:rPr>
          <w:rFonts w:ascii="Arial" w:hAnsi="Arial" w:cs="Arial"/>
        </w:rPr>
        <w:t>ion</w:t>
      </w:r>
    </w:p>
    <w:p w14:paraId="12B75824" w14:textId="7A503B33" w:rsidR="000C6DDF" w:rsidRDefault="000C6DDF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Developing our health inequalities strategic delivery plan</w:t>
      </w:r>
    </w:p>
    <w:p w14:paraId="4829A5BD" w14:textId="2A9D1273" w:rsidR="000C6DDF" w:rsidRDefault="000C6DDF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Developing our anchor institutions to tackle socio-economic inequalities</w:t>
      </w:r>
    </w:p>
    <w:p w14:paraId="412FD739" w14:textId="2419157B" w:rsidR="000C6DDF" w:rsidRDefault="000C6DDF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Developing our anti-racism framework to address racial inequalities </w:t>
      </w:r>
    </w:p>
    <w:p w14:paraId="027A2C18" w14:textId="07AD0E0B" w:rsidR="00EA3878" w:rsidRDefault="00EA3878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data, intelligence and population health management to improve outcomes and tackle inequalities for our population </w:t>
      </w:r>
    </w:p>
    <w:p w14:paraId="12929712" w14:textId="1A10D906" w:rsidR="00432BDC" w:rsidRDefault="00432BDC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Strengthening our community engagement</w:t>
      </w:r>
    </w:p>
    <w:p w14:paraId="44893A31" w14:textId="63A18599" w:rsidR="00432BDC" w:rsidRDefault="00432BDC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Delivering SWL’s statutory equality duties </w:t>
      </w:r>
    </w:p>
    <w:p w14:paraId="3FD34565" w14:textId="064CA4CC" w:rsidR="008D3CC8" w:rsidRDefault="0023140F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Deepening our understanding of our population and health inequalities</w:t>
      </w:r>
    </w:p>
    <w:p w14:paraId="49CD1BFE" w14:textId="4D59066F" w:rsidR="0023140F" w:rsidRDefault="0023140F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Developing a healthy lifestyles pathway across SWL</w:t>
      </w:r>
    </w:p>
    <w:p w14:paraId="429369CB" w14:textId="27479997" w:rsidR="0023140F" w:rsidRDefault="0023140F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Protecting S</w:t>
      </w:r>
      <w:r w:rsidR="0044057A">
        <w:rPr>
          <w:rFonts w:ascii="Arial" w:hAnsi="Arial" w:cs="Arial"/>
        </w:rPr>
        <w:t>WL population from communicable diseases and environmental threats</w:t>
      </w:r>
    </w:p>
    <w:p w14:paraId="142DBE88" w14:textId="4C307251" w:rsidR="0044057A" w:rsidRPr="000C6DDF" w:rsidRDefault="0044057A" w:rsidP="000C6DDF">
      <w:pPr>
        <w:pStyle w:val="ListParagraph"/>
        <w:numPr>
          <w:ilvl w:val="1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Increasing support for the prevention and early diagnosis of chronic conditions </w:t>
      </w:r>
    </w:p>
    <w:p w14:paraId="043907FE" w14:textId="4D5585BC" w:rsidR="00C14C5F" w:rsidRDefault="00C14C5F" w:rsidP="00A02FE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To promote and embed the use of population health management to improve population health</w:t>
      </w:r>
    </w:p>
    <w:p w14:paraId="11481FF7" w14:textId="56C5C03C" w:rsidR="00B96101" w:rsidRDefault="00B96101" w:rsidP="00A02FE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advance </w:t>
      </w:r>
      <w:r w:rsidR="00717FFD">
        <w:rPr>
          <w:rFonts w:ascii="Arial" w:hAnsi="Arial" w:cs="Arial"/>
        </w:rPr>
        <w:t xml:space="preserve">health </w:t>
      </w:r>
      <w:r>
        <w:rPr>
          <w:rFonts w:ascii="Arial" w:hAnsi="Arial" w:cs="Arial"/>
        </w:rPr>
        <w:t xml:space="preserve">research in the </w:t>
      </w:r>
      <w:r w:rsidR="00257A32">
        <w:rPr>
          <w:rFonts w:ascii="Arial" w:hAnsi="Arial" w:cs="Arial"/>
        </w:rPr>
        <w:t>SWL ICS</w:t>
      </w:r>
    </w:p>
    <w:p w14:paraId="2968C1EE" w14:textId="19D8A119" w:rsidR="00D17AE1" w:rsidRDefault="006D5AE8" w:rsidP="00A02FE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ensure equitable access to high quality and appropriate health care </w:t>
      </w:r>
      <w:r w:rsidR="00674BEA">
        <w:rPr>
          <w:rFonts w:ascii="Arial" w:hAnsi="Arial" w:cs="Arial"/>
        </w:rPr>
        <w:t xml:space="preserve">including the Evidence Based Interventions Programme </w:t>
      </w:r>
    </w:p>
    <w:p w14:paraId="2EAE5F7C" w14:textId="3E2BF3D3" w:rsidR="00167446" w:rsidRDefault="00167446" w:rsidP="00A02FE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7806BD">
        <w:rPr>
          <w:rFonts w:ascii="Arial" w:hAnsi="Arial" w:cs="Arial"/>
        </w:rPr>
        <w:t>contribute to t</w:t>
      </w:r>
      <w:r w:rsidR="00C07E77">
        <w:rPr>
          <w:rFonts w:ascii="Arial" w:hAnsi="Arial" w:cs="Arial"/>
        </w:rPr>
        <w:t xml:space="preserve">he ICS performance on the health inequalities </w:t>
      </w:r>
      <w:r w:rsidR="00E936C3">
        <w:rPr>
          <w:rFonts w:ascii="Arial" w:hAnsi="Arial" w:cs="Arial"/>
        </w:rPr>
        <w:t xml:space="preserve">components of the CQC ICS annual assessments </w:t>
      </w:r>
    </w:p>
    <w:p w14:paraId="16D4CDAB" w14:textId="43371CE6" w:rsidR="00957DF2" w:rsidRPr="00971EEB" w:rsidRDefault="009F2D29" w:rsidP="00B544C6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971EEB">
        <w:rPr>
          <w:rFonts w:ascii="Arial" w:hAnsi="Arial" w:cs="Arial"/>
          <w:b/>
          <w:bCs/>
          <w:sz w:val="24"/>
          <w:szCs w:val="24"/>
        </w:rPr>
        <w:t>Membersh</w:t>
      </w:r>
      <w:r w:rsidR="00F35F35" w:rsidRPr="00971EEB">
        <w:rPr>
          <w:rFonts w:ascii="Arial" w:hAnsi="Arial" w:cs="Arial"/>
          <w:b/>
          <w:bCs/>
          <w:sz w:val="24"/>
          <w:szCs w:val="24"/>
        </w:rPr>
        <w:t>ip</w:t>
      </w:r>
    </w:p>
    <w:p w14:paraId="0ECB6809" w14:textId="4EBCEAEC" w:rsidR="00B05C8B" w:rsidRDefault="00D92ABE" w:rsidP="00D92ABE">
      <w:pPr>
        <w:pStyle w:val="ListParagraph"/>
        <w:numPr>
          <w:ilvl w:val="0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Members are restricted to</w:t>
      </w:r>
      <w:r w:rsidR="00B05C8B" w:rsidRPr="00D92ABE">
        <w:rPr>
          <w:rFonts w:ascii="Arial" w:hAnsi="Arial" w:cs="Arial"/>
        </w:rPr>
        <w:t>:</w:t>
      </w:r>
    </w:p>
    <w:p w14:paraId="7FD7CC9A" w14:textId="24BA4727" w:rsidR="00271538" w:rsidRDefault="00271538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Executive Medical Director, SWL ICB (</w:t>
      </w:r>
      <w:r w:rsidR="00BE6208">
        <w:rPr>
          <w:rFonts w:ascii="Arial" w:hAnsi="Arial" w:cs="Arial"/>
        </w:rPr>
        <w:t xml:space="preserve">SRO </w:t>
      </w:r>
      <w:r w:rsidR="000D46D4">
        <w:rPr>
          <w:rFonts w:ascii="Arial" w:hAnsi="Arial" w:cs="Arial"/>
        </w:rPr>
        <w:t xml:space="preserve">for Health Inequalities &amp; </w:t>
      </w:r>
      <w:r w:rsidR="00E01AB9">
        <w:rPr>
          <w:rFonts w:ascii="Arial" w:hAnsi="Arial" w:cs="Arial"/>
        </w:rPr>
        <w:t>SRO for ICP Prevention workstream</w:t>
      </w:r>
      <w:r>
        <w:rPr>
          <w:rFonts w:ascii="Arial" w:hAnsi="Arial" w:cs="Arial"/>
        </w:rPr>
        <w:t>)</w:t>
      </w:r>
    </w:p>
    <w:p w14:paraId="231E3AC6" w14:textId="115C9782" w:rsidR="00271538" w:rsidRDefault="003F2896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DPH SRO</w:t>
      </w:r>
      <w:r w:rsidR="000D46D4">
        <w:rPr>
          <w:rFonts w:ascii="Arial" w:hAnsi="Arial" w:cs="Arial"/>
        </w:rPr>
        <w:t xml:space="preserve"> for ICP Prevention workstream</w:t>
      </w:r>
    </w:p>
    <w:p w14:paraId="17C98268" w14:textId="09F4134F" w:rsidR="003F2896" w:rsidRPr="003F2896" w:rsidRDefault="003F2896" w:rsidP="003F2896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DPH </w:t>
      </w:r>
      <w:r w:rsidR="00EA3150">
        <w:rPr>
          <w:rFonts w:ascii="Arial" w:hAnsi="Arial" w:cs="Arial"/>
        </w:rPr>
        <w:t>SRO for ICP Health Inequalities workstream</w:t>
      </w:r>
    </w:p>
    <w:p w14:paraId="29D34E44" w14:textId="1F3E3CDA" w:rsidR="00F35B03" w:rsidRDefault="00F35B03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ICP sponsors for the Health Inequalities and Prevention priorities</w:t>
      </w:r>
    </w:p>
    <w:p w14:paraId="577969E6" w14:textId="556549F6" w:rsidR="00747AD8" w:rsidRDefault="00747AD8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 of Health Improvement</w:t>
      </w:r>
      <w:r w:rsidR="005905CC">
        <w:rPr>
          <w:rFonts w:ascii="Arial" w:hAnsi="Arial" w:cs="Arial"/>
        </w:rPr>
        <w:t xml:space="preserve"> (ICB</w:t>
      </w:r>
      <w:r w:rsidR="00561D5F">
        <w:rPr>
          <w:rFonts w:ascii="Arial" w:hAnsi="Arial" w:cs="Arial"/>
        </w:rPr>
        <w:t xml:space="preserve"> &amp; workstreams lead</w:t>
      </w:r>
      <w:r w:rsidR="005905CC">
        <w:rPr>
          <w:rFonts w:ascii="Arial" w:hAnsi="Arial" w:cs="Arial"/>
        </w:rPr>
        <w:t>)</w:t>
      </w:r>
    </w:p>
    <w:p w14:paraId="45D06C48" w14:textId="1F0921C4" w:rsidR="003F2896" w:rsidRDefault="003F2896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Directors of Public Health</w:t>
      </w:r>
      <w:r w:rsidR="00867FB2">
        <w:rPr>
          <w:rFonts w:ascii="Arial" w:hAnsi="Arial" w:cs="Arial"/>
        </w:rPr>
        <w:t>, local authorities</w:t>
      </w:r>
    </w:p>
    <w:p w14:paraId="1ADD66EE" w14:textId="32D294AD" w:rsidR="002F70E7" w:rsidRDefault="00EA3150" w:rsidP="00373E6E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Head of Health Improvement</w:t>
      </w:r>
      <w:r w:rsidR="00BF000D">
        <w:rPr>
          <w:rFonts w:ascii="Arial" w:hAnsi="Arial" w:cs="Arial"/>
        </w:rPr>
        <w:t xml:space="preserve"> (ICB)</w:t>
      </w:r>
    </w:p>
    <w:p w14:paraId="262694D4" w14:textId="2A3FBD0E" w:rsidR="00AA7B26" w:rsidRPr="005B49DF" w:rsidRDefault="00AA7B26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 w:rsidRPr="005B49DF">
        <w:rPr>
          <w:rFonts w:ascii="Arial" w:hAnsi="Arial" w:cs="Arial"/>
        </w:rPr>
        <w:t>Head of Evidence Based Interventions</w:t>
      </w:r>
      <w:r w:rsidR="00BF053A">
        <w:rPr>
          <w:rFonts w:ascii="Arial" w:hAnsi="Arial" w:cs="Arial"/>
        </w:rPr>
        <w:t xml:space="preserve"> </w:t>
      </w:r>
      <w:r w:rsidR="00BF000D">
        <w:rPr>
          <w:rFonts w:ascii="Arial" w:hAnsi="Arial" w:cs="Arial"/>
        </w:rPr>
        <w:t>(ICB)</w:t>
      </w:r>
    </w:p>
    <w:p w14:paraId="3B532D7C" w14:textId="0F30E965" w:rsidR="00AA7B26" w:rsidRDefault="005B49DF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 w:rsidRPr="005B49DF">
        <w:rPr>
          <w:rFonts w:ascii="Arial" w:hAnsi="Arial" w:cs="Arial"/>
        </w:rPr>
        <w:t xml:space="preserve">SWL </w:t>
      </w:r>
      <w:r w:rsidRPr="005B49DF">
        <w:rPr>
          <w:rFonts w:ascii="Arial" w:hAnsi="Arial" w:cs="Arial"/>
          <w:lang w:eastAsia="en-GB"/>
        </w:rPr>
        <w:t>Chief Digital Information Officer</w:t>
      </w:r>
      <w:r w:rsidR="00BF000D">
        <w:rPr>
          <w:rFonts w:ascii="Arial" w:hAnsi="Arial" w:cs="Arial"/>
          <w:lang w:eastAsia="en-GB"/>
        </w:rPr>
        <w:t xml:space="preserve"> (ICB)</w:t>
      </w:r>
    </w:p>
    <w:p w14:paraId="4EA02AE2" w14:textId="23585E6F" w:rsidR="00373E6E" w:rsidRDefault="00373E6E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Deputy Director for Quality Improvement</w:t>
      </w:r>
      <w:r w:rsidR="00BF000D">
        <w:rPr>
          <w:rFonts w:ascii="Arial" w:hAnsi="Arial" w:cs="Arial"/>
        </w:rPr>
        <w:t xml:space="preserve"> (</w:t>
      </w:r>
      <w:r w:rsidR="0069771A">
        <w:rPr>
          <w:rFonts w:ascii="Arial" w:hAnsi="Arial" w:cs="Arial"/>
        </w:rPr>
        <w:t>ICB</w:t>
      </w:r>
      <w:r w:rsidR="00BF000D">
        <w:rPr>
          <w:rFonts w:ascii="Arial" w:hAnsi="Arial" w:cs="Arial"/>
        </w:rPr>
        <w:t>)</w:t>
      </w:r>
    </w:p>
    <w:p w14:paraId="03EF1A85" w14:textId="48ACC928" w:rsidR="008F4665" w:rsidRPr="005B49DF" w:rsidRDefault="008F4665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Place Directors</w:t>
      </w:r>
    </w:p>
    <w:p w14:paraId="6F3421B8" w14:textId="3B57804E" w:rsidR="00F25F04" w:rsidRDefault="00F25F04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Senior Representative from South London Partnership</w:t>
      </w:r>
    </w:p>
    <w:p w14:paraId="755CB428" w14:textId="27426B53" w:rsidR="00C066B3" w:rsidRDefault="00C066B3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Senior Representative from OHID, London Region</w:t>
      </w:r>
    </w:p>
    <w:p w14:paraId="3A1C1583" w14:textId="415A15BE" w:rsidR="007616CF" w:rsidRDefault="00657055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Senior </w:t>
      </w:r>
      <w:r w:rsidR="007616CF">
        <w:rPr>
          <w:rFonts w:ascii="Arial" w:hAnsi="Arial" w:cs="Arial"/>
        </w:rPr>
        <w:t>Representative from UKHSA</w:t>
      </w:r>
      <w:r w:rsidR="00410389">
        <w:rPr>
          <w:rFonts w:ascii="Arial" w:hAnsi="Arial" w:cs="Arial"/>
        </w:rPr>
        <w:t>, London Region</w:t>
      </w:r>
    </w:p>
    <w:p w14:paraId="793FBA83" w14:textId="4E4D83E5" w:rsidR="00BB735C" w:rsidRDefault="00BB735C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Senior Representative from Health Watch</w:t>
      </w:r>
    </w:p>
    <w:p w14:paraId="424A671A" w14:textId="4F66426D" w:rsidR="007D348C" w:rsidRDefault="007D348C" w:rsidP="00E94474">
      <w:pPr>
        <w:pStyle w:val="ListParagraph"/>
        <w:numPr>
          <w:ilvl w:val="1"/>
          <w:numId w:val="15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Senior Representative from </w:t>
      </w:r>
      <w:r w:rsidR="00BC0E1A">
        <w:rPr>
          <w:rFonts w:ascii="Arial" w:hAnsi="Arial" w:cs="Arial"/>
        </w:rPr>
        <w:t>VCSE</w:t>
      </w:r>
    </w:p>
    <w:p w14:paraId="52252772" w14:textId="0E71B467" w:rsidR="00FE2587" w:rsidRPr="00F46914" w:rsidRDefault="00FE2587" w:rsidP="00FE2587">
      <w:pPr>
        <w:pStyle w:val="ListParagraph"/>
        <w:numPr>
          <w:ilvl w:val="0"/>
          <w:numId w:val="15"/>
        </w:numPr>
        <w:spacing w:after="200" w:line="240" w:lineRule="auto"/>
        <w:rPr>
          <w:rFonts w:ascii="Arial" w:hAnsi="Arial" w:cs="Arial"/>
        </w:rPr>
      </w:pPr>
      <w:r w:rsidRPr="00F46914">
        <w:rPr>
          <w:rFonts w:ascii="Arial" w:hAnsi="Arial" w:cs="Arial"/>
        </w:rPr>
        <w:t>Members will be responsible for attending each meeting</w:t>
      </w:r>
      <w:r w:rsidR="00657055">
        <w:rPr>
          <w:rFonts w:ascii="Arial" w:hAnsi="Arial" w:cs="Arial"/>
        </w:rPr>
        <w:t xml:space="preserve"> and</w:t>
      </w:r>
      <w:r w:rsidRPr="00F46914">
        <w:rPr>
          <w:rFonts w:ascii="Arial" w:hAnsi="Arial" w:cs="Arial"/>
        </w:rPr>
        <w:t xml:space="preserve"> contributing to the agenda. Members can nominate deputies to attend on their behalf where attendance is not possible. </w:t>
      </w:r>
    </w:p>
    <w:p w14:paraId="46E7611F" w14:textId="291811A2" w:rsidR="00FE2587" w:rsidRPr="00F46914" w:rsidRDefault="00FE2587" w:rsidP="00FE2587">
      <w:pPr>
        <w:pStyle w:val="ListParagraph"/>
        <w:numPr>
          <w:ilvl w:val="0"/>
          <w:numId w:val="15"/>
        </w:numPr>
        <w:spacing w:after="200" w:line="240" w:lineRule="auto"/>
        <w:rPr>
          <w:rFonts w:ascii="Arial" w:hAnsi="Arial" w:cs="Arial"/>
        </w:rPr>
      </w:pPr>
      <w:r w:rsidRPr="00F46914">
        <w:rPr>
          <w:rFonts w:ascii="Arial" w:hAnsi="Arial" w:cs="Arial"/>
        </w:rPr>
        <w:t xml:space="preserve">Minutes of meetings will be shared with members after each </w:t>
      </w:r>
      <w:r w:rsidR="00204BE1">
        <w:rPr>
          <w:rFonts w:ascii="Arial" w:hAnsi="Arial" w:cs="Arial"/>
        </w:rPr>
        <w:t xml:space="preserve">quarterly </w:t>
      </w:r>
      <w:r w:rsidRPr="00F46914">
        <w:rPr>
          <w:rFonts w:ascii="Arial" w:hAnsi="Arial" w:cs="Arial"/>
        </w:rPr>
        <w:t>meeting.</w:t>
      </w:r>
    </w:p>
    <w:p w14:paraId="78748667" w14:textId="1A51F08F" w:rsidR="0048017C" w:rsidRPr="0037400A" w:rsidRDefault="0037400A" w:rsidP="0048017C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37400A">
        <w:rPr>
          <w:rFonts w:ascii="Arial" w:hAnsi="Arial" w:cs="Arial"/>
          <w:b/>
          <w:bCs/>
          <w:sz w:val="24"/>
          <w:szCs w:val="24"/>
        </w:rPr>
        <w:t>Frequency of Meetings</w:t>
      </w:r>
    </w:p>
    <w:p w14:paraId="7DCC2705" w14:textId="691FFD94" w:rsidR="000770F8" w:rsidRPr="00F46914" w:rsidRDefault="000770F8" w:rsidP="000770F8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F46914">
        <w:rPr>
          <w:sz w:val="22"/>
          <w:szCs w:val="22"/>
        </w:rPr>
        <w:t xml:space="preserve">Meetings will </w:t>
      </w:r>
      <w:r w:rsidR="00D24E18">
        <w:rPr>
          <w:sz w:val="22"/>
          <w:szCs w:val="22"/>
        </w:rPr>
        <w:t xml:space="preserve">be </w:t>
      </w:r>
      <w:r w:rsidR="00B847E6">
        <w:rPr>
          <w:sz w:val="22"/>
          <w:szCs w:val="22"/>
        </w:rPr>
        <w:t>quarterly – April, July</w:t>
      </w:r>
      <w:r w:rsidR="00D24E18">
        <w:rPr>
          <w:sz w:val="22"/>
          <w:szCs w:val="22"/>
        </w:rPr>
        <w:t xml:space="preserve">, October and January. </w:t>
      </w:r>
      <w:r w:rsidR="00022529">
        <w:rPr>
          <w:sz w:val="22"/>
          <w:szCs w:val="22"/>
        </w:rPr>
        <w:t>A schedule of meetings will be circulated to members of the group.</w:t>
      </w:r>
      <w:r w:rsidR="00D24E18">
        <w:rPr>
          <w:sz w:val="22"/>
          <w:szCs w:val="22"/>
        </w:rPr>
        <w:t xml:space="preserve"> </w:t>
      </w:r>
      <w:r w:rsidR="00B847E6">
        <w:rPr>
          <w:sz w:val="22"/>
          <w:szCs w:val="22"/>
        </w:rPr>
        <w:t xml:space="preserve"> </w:t>
      </w:r>
      <w:r w:rsidRPr="00F46914">
        <w:rPr>
          <w:sz w:val="22"/>
          <w:szCs w:val="22"/>
        </w:rPr>
        <w:t xml:space="preserve"> </w:t>
      </w:r>
    </w:p>
    <w:p w14:paraId="1C01D717" w14:textId="3255158A" w:rsidR="000770F8" w:rsidRPr="00F46914" w:rsidRDefault="000770F8" w:rsidP="000770F8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F46914">
        <w:rPr>
          <w:sz w:val="22"/>
          <w:szCs w:val="22"/>
        </w:rPr>
        <w:t xml:space="preserve">Quorate membership consists of </w:t>
      </w:r>
      <w:r w:rsidR="00022529">
        <w:rPr>
          <w:sz w:val="22"/>
          <w:szCs w:val="22"/>
        </w:rPr>
        <w:t>the chair</w:t>
      </w:r>
      <w:r w:rsidRPr="00F46914">
        <w:rPr>
          <w:sz w:val="22"/>
          <w:szCs w:val="22"/>
        </w:rPr>
        <w:t xml:space="preserve"> </w:t>
      </w:r>
      <w:r w:rsidRPr="00F46914">
        <w:rPr>
          <w:color w:val="auto"/>
          <w:sz w:val="22"/>
          <w:szCs w:val="22"/>
        </w:rPr>
        <w:t xml:space="preserve">and </w:t>
      </w:r>
      <w:r w:rsidR="00911F82">
        <w:rPr>
          <w:color w:val="auto"/>
          <w:sz w:val="22"/>
          <w:szCs w:val="22"/>
        </w:rPr>
        <w:t>at least two senior representatives from SWL ICB</w:t>
      </w:r>
      <w:r w:rsidR="00003071">
        <w:rPr>
          <w:color w:val="auto"/>
          <w:sz w:val="22"/>
          <w:szCs w:val="22"/>
        </w:rPr>
        <w:t xml:space="preserve"> and two </w:t>
      </w:r>
      <w:r w:rsidR="008F4665">
        <w:rPr>
          <w:color w:val="auto"/>
          <w:sz w:val="22"/>
          <w:szCs w:val="22"/>
        </w:rPr>
        <w:t>Place</w:t>
      </w:r>
      <w:r w:rsidR="00003071">
        <w:rPr>
          <w:color w:val="auto"/>
          <w:sz w:val="22"/>
          <w:szCs w:val="22"/>
        </w:rPr>
        <w:t xml:space="preserve"> representative</w:t>
      </w:r>
      <w:r w:rsidR="00104505">
        <w:rPr>
          <w:color w:val="auto"/>
          <w:sz w:val="22"/>
          <w:szCs w:val="22"/>
        </w:rPr>
        <w:t>s</w:t>
      </w:r>
      <w:r w:rsidR="00003071">
        <w:rPr>
          <w:color w:val="auto"/>
          <w:sz w:val="22"/>
          <w:szCs w:val="22"/>
        </w:rPr>
        <w:t>.</w:t>
      </w:r>
    </w:p>
    <w:p w14:paraId="1A6C9DC2" w14:textId="77777777" w:rsidR="000770F8" w:rsidRPr="00F46914" w:rsidRDefault="000770F8" w:rsidP="000770F8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F46914">
        <w:rPr>
          <w:sz w:val="22"/>
          <w:szCs w:val="22"/>
        </w:rPr>
        <w:t xml:space="preserve">Meetings may be held between the main meetings if a need is warranted. </w:t>
      </w:r>
    </w:p>
    <w:p w14:paraId="53ECCEA7" w14:textId="77777777" w:rsidR="000770F8" w:rsidRPr="00F46914" w:rsidRDefault="000770F8" w:rsidP="000770F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F46914">
        <w:rPr>
          <w:rFonts w:ascii="Arial" w:eastAsia="Times New Roman" w:hAnsi="Arial" w:cs="Arial"/>
        </w:rPr>
        <w:t xml:space="preserve">All meeting papers will be circulated at least three days in advance of the meeting. </w:t>
      </w:r>
    </w:p>
    <w:p w14:paraId="0F11B94A" w14:textId="73BECEB8" w:rsidR="00B05C8B" w:rsidRDefault="000770F8" w:rsidP="00B05C8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F46914">
        <w:rPr>
          <w:rFonts w:ascii="Arial" w:hAnsi="Arial" w:cs="Arial"/>
        </w:rPr>
        <w:t xml:space="preserve">The agenda and minutes will be formally recorded. Minutes listing all agreed actions will be circulated to members and those in attendance within </w:t>
      </w:r>
      <w:r w:rsidR="00790C62">
        <w:rPr>
          <w:rFonts w:ascii="Arial" w:hAnsi="Arial" w:cs="Arial"/>
        </w:rPr>
        <w:t>5</w:t>
      </w:r>
      <w:r w:rsidRPr="00F46914">
        <w:rPr>
          <w:rFonts w:ascii="Arial" w:hAnsi="Arial" w:cs="Arial"/>
        </w:rPr>
        <w:t xml:space="preserve"> working days of the meeting.</w:t>
      </w:r>
    </w:p>
    <w:p w14:paraId="67073AAD" w14:textId="45F34DFD" w:rsidR="00230ACE" w:rsidRDefault="00230ACE" w:rsidP="00B05C8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Agenda</w:t>
      </w:r>
      <w:r w:rsidR="00303834">
        <w:rPr>
          <w:rFonts w:ascii="Arial" w:hAnsi="Arial" w:cs="Arial"/>
        </w:rPr>
        <w:t xml:space="preserve"> standing items</w:t>
      </w:r>
      <w:r>
        <w:rPr>
          <w:rFonts w:ascii="Arial" w:hAnsi="Arial" w:cs="Arial"/>
        </w:rPr>
        <w:t xml:space="preserve"> will consist of </w:t>
      </w:r>
      <w:r w:rsidR="00177B55">
        <w:rPr>
          <w:rFonts w:ascii="Arial" w:hAnsi="Arial" w:cs="Arial"/>
        </w:rPr>
        <w:t>reports from delivery groups</w:t>
      </w:r>
      <w:r w:rsidR="003E676F">
        <w:rPr>
          <w:rFonts w:ascii="Arial" w:hAnsi="Arial" w:cs="Arial"/>
        </w:rPr>
        <w:t xml:space="preserve">, </w:t>
      </w:r>
      <w:r w:rsidR="007F59AC">
        <w:rPr>
          <w:rFonts w:ascii="Arial" w:hAnsi="Arial" w:cs="Arial"/>
        </w:rPr>
        <w:t xml:space="preserve">monitoring </w:t>
      </w:r>
      <w:r w:rsidR="003E676F">
        <w:rPr>
          <w:rFonts w:ascii="Arial" w:hAnsi="Arial" w:cs="Arial"/>
        </w:rPr>
        <w:t>progress against the ICP strategy and JFP</w:t>
      </w:r>
      <w:r w:rsidR="00177B55">
        <w:rPr>
          <w:rFonts w:ascii="Arial" w:hAnsi="Arial" w:cs="Arial"/>
        </w:rPr>
        <w:t xml:space="preserve"> </w:t>
      </w:r>
      <w:r w:rsidR="00412585">
        <w:rPr>
          <w:rFonts w:ascii="Arial" w:hAnsi="Arial" w:cs="Arial"/>
        </w:rPr>
        <w:t xml:space="preserve">and deep dives into specific topics.  </w:t>
      </w:r>
    </w:p>
    <w:p w14:paraId="50D9C1D1" w14:textId="547A48AB" w:rsidR="00D01FCB" w:rsidRPr="00F46914" w:rsidRDefault="00D01FCB" w:rsidP="00B05C8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Agendas, minutes and papers will be stored </w:t>
      </w:r>
      <w:r w:rsidR="00B66407">
        <w:rPr>
          <w:rFonts w:ascii="Arial" w:hAnsi="Arial" w:cs="Arial"/>
        </w:rPr>
        <w:t xml:space="preserve">on a specific site on NHS Futures Platform and on </w:t>
      </w:r>
      <w:r w:rsidR="004F4FBC">
        <w:rPr>
          <w:rFonts w:ascii="Arial" w:hAnsi="Arial" w:cs="Arial"/>
        </w:rPr>
        <w:t>S</w:t>
      </w:r>
      <w:r w:rsidR="00B66407">
        <w:rPr>
          <w:rFonts w:ascii="Arial" w:hAnsi="Arial" w:cs="Arial"/>
        </w:rPr>
        <w:t xml:space="preserve">hare point, providing a depositary and audit trail of the work being done on </w:t>
      </w:r>
      <w:r w:rsidR="00230ACE">
        <w:rPr>
          <w:rFonts w:ascii="Arial" w:hAnsi="Arial" w:cs="Arial"/>
        </w:rPr>
        <w:t>population health</w:t>
      </w:r>
      <w:r w:rsidR="00B66407">
        <w:rPr>
          <w:rFonts w:ascii="Arial" w:hAnsi="Arial" w:cs="Arial"/>
        </w:rPr>
        <w:t xml:space="preserve"> and health equity in SWL.  </w:t>
      </w:r>
    </w:p>
    <w:p w14:paraId="6FCF34D6" w14:textId="7B2AEB3A" w:rsidR="00B05C8B" w:rsidRPr="00F46914" w:rsidRDefault="00B05C8B" w:rsidP="00B05C8B">
      <w:pPr>
        <w:rPr>
          <w:rFonts w:ascii="Arial" w:hAnsi="Arial" w:cs="Arial"/>
        </w:rPr>
      </w:pPr>
    </w:p>
    <w:p w14:paraId="78D7B77D" w14:textId="77777777" w:rsidR="00BA0284" w:rsidRPr="00971EEB" w:rsidRDefault="00BA0284" w:rsidP="00BA0284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971EEB">
        <w:rPr>
          <w:rFonts w:ascii="Arial" w:hAnsi="Arial" w:cs="Arial"/>
          <w:b/>
          <w:bCs/>
          <w:sz w:val="24"/>
          <w:szCs w:val="24"/>
        </w:rPr>
        <w:t xml:space="preserve">Governance &amp; Reporting Arrangements </w:t>
      </w:r>
    </w:p>
    <w:p w14:paraId="54913D44" w14:textId="3602760F" w:rsidR="00BA0284" w:rsidRPr="00972CAC" w:rsidRDefault="00BA0284" w:rsidP="00C560F5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b/>
        </w:rPr>
      </w:pPr>
      <w:r w:rsidRPr="00F46914">
        <w:rPr>
          <w:rFonts w:ascii="Arial" w:hAnsi="Arial" w:cs="Arial"/>
          <w:bCs/>
        </w:rPr>
        <w:t>T</w:t>
      </w:r>
      <w:r w:rsidR="004D2E6E">
        <w:rPr>
          <w:rFonts w:ascii="Arial" w:hAnsi="Arial" w:cs="Arial"/>
          <w:bCs/>
        </w:rPr>
        <w:t xml:space="preserve">he </w:t>
      </w:r>
      <w:r w:rsidR="00440B91">
        <w:rPr>
          <w:rFonts w:ascii="Arial" w:hAnsi="Arial" w:cs="Arial"/>
          <w:bCs/>
        </w:rPr>
        <w:t>Health Inequalities</w:t>
      </w:r>
      <w:r w:rsidR="002D2D6B">
        <w:rPr>
          <w:rFonts w:ascii="Arial" w:hAnsi="Arial" w:cs="Arial"/>
          <w:bCs/>
        </w:rPr>
        <w:t xml:space="preserve"> &amp; </w:t>
      </w:r>
      <w:r w:rsidR="00440B91">
        <w:rPr>
          <w:rFonts w:ascii="Arial" w:hAnsi="Arial" w:cs="Arial"/>
          <w:bCs/>
        </w:rPr>
        <w:t>Improvement Partnership Group</w:t>
      </w:r>
      <w:r w:rsidR="00C560F5" w:rsidRPr="00F46914">
        <w:rPr>
          <w:rFonts w:ascii="Arial" w:hAnsi="Arial" w:cs="Arial"/>
          <w:bCs/>
        </w:rPr>
        <w:t xml:space="preserve"> </w:t>
      </w:r>
      <w:r w:rsidR="00CF2B5B">
        <w:rPr>
          <w:rFonts w:ascii="Arial" w:hAnsi="Arial" w:cs="Arial"/>
          <w:bCs/>
        </w:rPr>
        <w:t xml:space="preserve">is accountable to the SWL Integrated Care Board </w:t>
      </w:r>
      <w:r w:rsidR="00C560F5" w:rsidRPr="00F46914">
        <w:rPr>
          <w:rFonts w:ascii="Arial" w:hAnsi="Arial" w:cs="Arial"/>
          <w:bCs/>
        </w:rPr>
        <w:t xml:space="preserve">and </w:t>
      </w:r>
      <w:r w:rsidR="003162FB">
        <w:rPr>
          <w:rFonts w:ascii="Arial" w:hAnsi="Arial" w:cs="Arial"/>
          <w:bCs/>
        </w:rPr>
        <w:t xml:space="preserve">the Integrated Care Partnership.  It </w:t>
      </w:r>
      <w:r w:rsidR="00C560F5" w:rsidRPr="00F46914">
        <w:rPr>
          <w:rFonts w:ascii="Arial" w:hAnsi="Arial" w:cs="Arial"/>
          <w:bCs/>
        </w:rPr>
        <w:t xml:space="preserve">will </w:t>
      </w:r>
      <w:r w:rsidRPr="00F46914">
        <w:rPr>
          <w:rFonts w:ascii="Arial" w:hAnsi="Arial" w:cs="Arial"/>
          <w:bCs/>
        </w:rPr>
        <w:t>provide regular reports</w:t>
      </w:r>
      <w:r w:rsidR="00871C00">
        <w:rPr>
          <w:rFonts w:ascii="Arial" w:hAnsi="Arial" w:cs="Arial"/>
          <w:bCs/>
        </w:rPr>
        <w:t xml:space="preserve"> to </w:t>
      </w:r>
      <w:r w:rsidR="003162FB">
        <w:rPr>
          <w:rFonts w:ascii="Arial" w:hAnsi="Arial" w:cs="Arial"/>
          <w:bCs/>
        </w:rPr>
        <w:t>both boards</w:t>
      </w:r>
      <w:r w:rsidR="00310074" w:rsidRPr="00F46914">
        <w:rPr>
          <w:rFonts w:ascii="Arial" w:hAnsi="Arial" w:cs="Arial"/>
          <w:bCs/>
        </w:rPr>
        <w:t xml:space="preserve">, </w:t>
      </w:r>
      <w:r w:rsidRPr="00F46914">
        <w:rPr>
          <w:rFonts w:ascii="Arial" w:hAnsi="Arial" w:cs="Arial"/>
          <w:bCs/>
        </w:rPr>
        <w:t xml:space="preserve">providing assurance of the work being done on </w:t>
      </w:r>
      <w:r w:rsidR="004E2263">
        <w:rPr>
          <w:rFonts w:ascii="Arial" w:hAnsi="Arial" w:cs="Arial"/>
          <w:bCs/>
        </w:rPr>
        <w:t>improving population health in South West London</w:t>
      </w:r>
      <w:r w:rsidR="00DF2791">
        <w:rPr>
          <w:rFonts w:ascii="Arial" w:hAnsi="Arial" w:cs="Arial"/>
          <w:bCs/>
        </w:rPr>
        <w:t xml:space="preserve"> and escalating any areas of concern</w:t>
      </w:r>
      <w:r w:rsidR="004E2263">
        <w:rPr>
          <w:rFonts w:ascii="Arial" w:hAnsi="Arial" w:cs="Arial"/>
          <w:bCs/>
        </w:rPr>
        <w:t>.</w:t>
      </w:r>
    </w:p>
    <w:p w14:paraId="5668A375" w14:textId="71268066" w:rsidR="00733CD0" w:rsidRPr="00733CD0" w:rsidRDefault="00622B2A" w:rsidP="00C560F5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There are </w:t>
      </w:r>
      <w:r w:rsidR="007C324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delivery groups that operationalise the </w:t>
      </w:r>
      <w:r w:rsidR="009D375A">
        <w:rPr>
          <w:rFonts w:ascii="Arial" w:hAnsi="Arial" w:cs="Arial"/>
          <w:bCs/>
        </w:rPr>
        <w:t>work of the partnership group</w:t>
      </w:r>
      <w:r w:rsidR="00511086">
        <w:rPr>
          <w:rFonts w:ascii="Arial" w:hAnsi="Arial" w:cs="Arial"/>
          <w:bCs/>
        </w:rPr>
        <w:t xml:space="preserve"> and report into the partnership group</w:t>
      </w:r>
      <w:r w:rsidR="00733CD0">
        <w:rPr>
          <w:rFonts w:ascii="Arial" w:hAnsi="Arial" w:cs="Arial"/>
          <w:bCs/>
        </w:rPr>
        <w:t>:</w:t>
      </w:r>
    </w:p>
    <w:p w14:paraId="210CE9BA" w14:textId="77777777" w:rsidR="00733CD0" w:rsidRPr="0085534D" w:rsidRDefault="00733CD0" w:rsidP="00733CD0">
      <w:pPr>
        <w:pStyle w:val="ListParagraph"/>
        <w:numPr>
          <w:ilvl w:val="1"/>
          <w:numId w:val="18"/>
        </w:numPr>
        <w:spacing w:after="200" w:line="276" w:lineRule="auto"/>
        <w:rPr>
          <w:rFonts w:ascii="Arial" w:hAnsi="Arial" w:cs="Arial"/>
          <w:b/>
          <w:u w:val="single"/>
        </w:rPr>
      </w:pPr>
      <w:r w:rsidRPr="0085534D">
        <w:rPr>
          <w:rFonts w:ascii="Arial" w:hAnsi="Arial" w:cs="Arial"/>
          <w:bCs/>
          <w:u w:val="single"/>
        </w:rPr>
        <w:t>Health Inequalities Funding Delivery Group</w:t>
      </w:r>
    </w:p>
    <w:p w14:paraId="58C4960A" w14:textId="63CA417E" w:rsidR="0085534D" w:rsidRPr="001A3D3B" w:rsidRDefault="007106E6" w:rsidP="0085534D">
      <w:pPr>
        <w:pStyle w:val="ListParagraph"/>
        <w:numPr>
          <w:ilvl w:val="2"/>
          <w:numId w:val="18"/>
        </w:num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This group is responsible for managing and monitoring the spend of health inequalities funding in SWL </w:t>
      </w:r>
      <w:r w:rsidR="001A3D3B">
        <w:rPr>
          <w:rFonts w:ascii="Arial" w:hAnsi="Arial" w:cs="Arial"/>
          <w:bCs/>
        </w:rPr>
        <w:t xml:space="preserve">including raising the profile of best practice interventions that make a meaningful contribution to local communities </w:t>
      </w:r>
    </w:p>
    <w:p w14:paraId="4AC759DA" w14:textId="76735A75" w:rsidR="001A3D3B" w:rsidRDefault="001A3D3B" w:rsidP="001A3D3B">
      <w:pPr>
        <w:pStyle w:val="ListParagraph"/>
        <w:numPr>
          <w:ilvl w:val="2"/>
          <w:numId w:val="18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group is a forum to share expertise, knowledge, and intelligence across SWL to share best practice and upskill all staff on health inequalities </w:t>
      </w:r>
    </w:p>
    <w:p w14:paraId="53430A7C" w14:textId="77777777" w:rsidR="00733CD0" w:rsidRPr="0085534D" w:rsidRDefault="00733CD0" w:rsidP="00733CD0">
      <w:pPr>
        <w:pStyle w:val="ListParagraph"/>
        <w:numPr>
          <w:ilvl w:val="1"/>
          <w:numId w:val="18"/>
        </w:numPr>
        <w:spacing w:after="200" w:line="276" w:lineRule="auto"/>
        <w:rPr>
          <w:rFonts w:ascii="Arial" w:hAnsi="Arial" w:cs="Arial"/>
          <w:b/>
          <w:u w:val="single"/>
        </w:rPr>
      </w:pPr>
      <w:r w:rsidRPr="0085534D">
        <w:rPr>
          <w:rFonts w:ascii="Arial" w:hAnsi="Arial" w:cs="Arial"/>
          <w:bCs/>
          <w:u w:val="single"/>
        </w:rPr>
        <w:t>Prevention Delivery Group</w:t>
      </w:r>
    </w:p>
    <w:p w14:paraId="22F5A1AC" w14:textId="23E99E6F" w:rsidR="0085534D" w:rsidRPr="0085534D" w:rsidRDefault="00C657F1" w:rsidP="0085534D">
      <w:pPr>
        <w:pStyle w:val="ListParagraph"/>
        <w:numPr>
          <w:ilvl w:val="2"/>
          <w:numId w:val="18"/>
        </w:num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This is an</w:t>
      </w:r>
      <w:r w:rsidR="0085534D">
        <w:rPr>
          <w:rFonts w:ascii="Arial" w:hAnsi="Arial" w:cs="Arial"/>
          <w:bCs/>
        </w:rPr>
        <w:t xml:space="preserve"> agile </w:t>
      </w:r>
      <w:r w:rsidR="00D046E8">
        <w:rPr>
          <w:rFonts w:ascii="Arial" w:hAnsi="Arial" w:cs="Arial"/>
          <w:bCs/>
        </w:rPr>
        <w:t xml:space="preserve">delivery group </w:t>
      </w:r>
      <w:r w:rsidR="00FD11C5">
        <w:rPr>
          <w:rFonts w:ascii="Arial" w:hAnsi="Arial" w:cs="Arial"/>
          <w:bCs/>
        </w:rPr>
        <w:t>that focuses</w:t>
      </w:r>
      <w:r w:rsidR="00D046E8">
        <w:rPr>
          <w:rFonts w:ascii="Arial" w:hAnsi="Arial" w:cs="Arial"/>
          <w:bCs/>
        </w:rPr>
        <w:t xml:space="preserve"> on delivering the </w:t>
      </w:r>
      <w:r w:rsidR="00624382">
        <w:rPr>
          <w:rFonts w:ascii="Arial" w:hAnsi="Arial" w:cs="Arial"/>
          <w:bCs/>
        </w:rPr>
        <w:t>aims for prevention and long</w:t>
      </w:r>
      <w:r w:rsidR="003277A4">
        <w:rPr>
          <w:rFonts w:ascii="Arial" w:hAnsi="Arial" w:cs="Arial"/>
          <w:bCs/>
        </w:rPr>
        <w:t>-</w:t>
      </w:r>
      <w:r w:rsidR="00624382">
        <w:rPr>
          <w:rFonts w:ascii="Arial" w:hAnsi="Arial" w:cs="Arial"/>
          <w:bCs/>
        </w:rPr>
        <w:t>term conditions</w:t>
      </w:r>
      <w:r w:rsidR="00D046E8">
        <w:rPr>
          <w:rFonts w:ascii="Arial" w:hAnsi="Arial" w:cs="Arial"/>
          <w:bCs/>
        </w:rPr>
        <w:t xml:space="preserve"> of the Joint Forward Plan, the ICP </w:t>
      </w:r>
      <w:r w:rsidR="00D046E8">
        <w:rPr>
          <w:rFonts w:ascii="Arial" w:hAnsi="Arial" w:cs="Arial"/>
          <w:bCs/>
        </w:rPr>
        <w:lastRenderedPageBreak/>
        <w:t>Strategy and the NHS Long Term Plan</w:t>
      </w:r>
      <w:r>
        <w:rPr>
          <w:rFonts w:ascii="Arial" w:hAnsi="Arial" w:cs="Arial"/>
          <w:bCs/>
        </w:rPr>
        <w:t>.</w:t>
      </w:r>
      <w:r w:rsidR="00624382">
        <w:rPr>
          <w:rFonts w:ascii="Arial" w:hAnsi="Arial" w:cs="Arial"/>
          <w:bCs/>
        </w:rPr>
        <w:t xml:space="preserve"> It also has oversight of the NHS Prevention programme including the NHS</w:t>
      </w:r>
      <w:r w:rsidR="003277A4">
        <w:rPr>
          <w:rFonts w:ascii="Arial" w:hAnsi="Arial" w:cs="Arial"/>
          <w:bCs/>
        </w:rPr>
        <w:t xml:space="preserve"> </w:t>
      </w:r>
      <w:r w:rsidR="00624382">
        <w:rPr>
          <w:rFonts w:ascii="Arial" w:hAnsi="Arial" w:cs="Arial"/>
          <w:bCs/>
        </w:rPr>
        <w:t>Tobacco Dependency Programme.</w:t>
      </w:r>
    </w:p>
    <w:p w14:paraId="6B594341" w14:textId="77777777" w:rsidR="0085534D" w:rsidRPr="005E783C" w:rsidRDefault="0085534D" w:rsidP="00733CD0">
      <w:pPr>
        <w:pStyle w:val="ListParagraph"/>
        <w:numPr>
          <w:ilvl w:val="1"/>
          <w:numId w:val="18"/>
        </w:numPr>
        <w:spacing w:after="200" w:line="276" w:lineRule="auto"/>
        <w:rPr>
          <w:rFonts w:ascii="Arial" w:hAnsi="Arial" w:cs="Arial"/>
          <w:b/>
          <w:u w:val="single"/>
        </w:rPr>
      </w:pPr>
      <w:r w:rsidRPr="0085534D">
        <w:rPr>
          <w:rFonts w:ascii="Arial" w:hAnsi="Arial" w:cs="Arial"/>
          <w:bCs/>
          <w:u w:val="single"/>
        </w:rPr>
        <w:t>SWL Health Research Collaborative</w:t>
      </w:r>
    </w:p>
    <w:p w14:paraId="008E1945" w14:textId="570D61D3" w:rsidR="005E783C" w:rsidRPr="00315A19" w:rsidRDefault="005E783C" w:rsidP="005E783C">
      <w:pPr>
        <w:pStyle w:val="ListParagraph"/>
        <w:numPr>
          <w:ilvl w:val="2"/>
          <w:numId w:val="18"/>
        </w:num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This group consists of representatives from </w:t>
      </w:r>
      <w:r w:rsidR="005D3015">
        <w:rPr>
          <w:rFonts w:ascii="Arial" w:hAnsi="Arial" w:cs="Arial"/>
          <w:bCs/>
        </w:rPr>
        <w:t>SWL</w:t>
      </w:r>
      <w:r>
        <w:rPr>
          <w:rFonts w:ascii="Arial" w:hAnsi="Arial" w:cs="Arial"/>
          <w:bCs/>
        </w:rPr>
        <w:t xml:space="preserve"> academic institutions, research and development leads in providers, </w:t>
      </w:r>
      <w:r w:rsidR="00315A19">
        <w:rPr>
          <w:rFonts w:ascii="Arial" w:hAnsi="Arial" w:cs="Arial"/>
          <w:bCs/>
        </w:rPr>
        <w:t xml:space="preserve">NIHR ARC, the Clinical Research Network and the Health Innovation Network. </w:t>
      </w:r>
    </w:p>
    <w:p w14:paraId="3E4E4368" w14:textId="4E42EEE7" w:rsidR="00315A19" w:rsidRPr="00580407" w:rsidRDefault="00315A19" w:rsidP="005E783C">
      <w:pPr>
        <w:pStyle w:val="ListParagraph"/>
        <w:numPr>
          <w:ilvl w:val="2"/>
          <w:numId w:val="18"/>
        </w:num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Aim is to establish a research environment in SWL </w:t>
      </w:r>
      <w:r w:rsidR="00617203">
        <w:rPr>
          <w:rFonts w:ascii="Arial" w:hAnsi="Arial" w:cs="Arial"/>
          <w:bCs/>
        </w:rPr>
        <w:t xml:space="preserve">through delivery of a research plan that will </w:t>
      </w:r>
      <w:r w:rsidR="00580407">
        <w:rPr>
          <w:rFonts w:ascii="Arial" w:hAnsi="Arial" w:cs="Arial"/>
          <w:bCs/>
        </w:rPr>
        <w:t>grow research capacity in the system, identify</w:t>
      </w:r>
      <w:r w:rsidR="005D3015">
        <w:rPr>
          <w:rFonts w:ascii="Arial" w:hAnsi="Arial" w:cs="Arial"/>
          <w:bCs/>
        </w:rPr>
        <w:t xml:space="preserve"> and address</w:t>
      </w:r>
      <w:r w:rsidR="00580407">
        <w:rPr>
          <w:rFonts w:ascii="Arial" w:hAnsi="Arial" w:cs="Arial"/>
          <w:bCs/>
        </w:rPr>
        <w:t xml:space="preserve"> the specific research needs in SWL, increase public participation and diversity</w:t>
      </w:r>
      <w:r w:rsidR="00AA2F46">
        <w:rPr>
          <w:rFonts w:ascii="Arial" w:hAnsi="Arial" w:cs="Arial"/>
          <w:bCs/>
        </w:rPr>
        <w:t xml:space="preserve">, support SWL innovators with evaluations and work with ICP to help implement research findings.  </w:t>
      </w:r>
    </w:p>
    <w:p w14:paraId="6C15F65F" w14:textId="32FCDC56" w:rsidR="00972CAC" w:rsidRPr="004E2263" w:rsidRDefault="009D375A" w:rsidP="00C560F5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Additional Task n’ Finish Groups may be set up to </w:t>
      </w:r>
      <w:r w:rsidR="007A1F95">
        <w:rPr>
          <w:rFonts w:ascii="Arial" w:hAnsi="Arial" w:cs="Arial"/>
          <w:bCs/>
        </w:rPr>
        <w:t xml:space="preserve">focus </w:t>
      </w:r>
      <w:r>
        <w:rPr>
          <w:rFonts w:ascii="Arial" w:hAnsi="Arial" w:cs="Arial"/>
          <w:bCs/>
        </w:rPr>
        <w:t xml:space="preserve">on </w:t>
      </w:r>
      <w:r w:rsidR="006039FE">
        <w:rPr>
          <w:rFonts w:ascii="Arial" w:hAnsi="Arial" w:cs="Arial"/>
          <w:bCs/>
        </w:rPr>
        <w:t>areas</w:t>
      </w:r>
      <w:r w:rsidR="007A1F95">
        <w:rPr>
          <w:rFonts w:ascii="Arial" w:hAnsi="Arial" w:cs="Arial"/>
          <w:bCs/>
        </w:rPr>
        <w:t xml:space="preserve"> of interest identified by the partnership group</w:t>
      </w:r>
      <w:r w:rsidR="006039FE">
        <w:rPr>
          <w:rFonts w:ascii="Arial" w:hAnsi="Arial" w:cs="Arial"/>
          <w:bCs/>
        </w:rPr>
        <w:t>.</w:t>
      </w:r>
    </w:p>
    <w:p w14:paraId="0286BC3B" w14:textId="771C64D9" w:rsidR="00BA0284" w:rsidRPr="00F46914" w:rsidRDefault="0028353A" w:rsidP="0226EC48">
      <w:pPr>
        <w:pStyle w:val="ListParagraph"/>
        <w:spacing w:after="0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5CC39" wp14:editId="4DDF880E">
                <wp:simplePos x="0" y="0"/>
                <wp:positionH relativeFrom="column">
                  <wp:posOffset>3352800</wp:posOffset>
                </wp:positionH>
                <wp:positionV relativeFrom="paragraph">
                  <wp:posOffset>945515</wp:posOffset>
                </wp:positionV>
                <wp:extent cx="9525" cy="4667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63741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74.45pt" to="264.7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VDpwEAAKADAAAOAAAAZHJzL2Uyb0RvYy54bWysU8tu2zAQvBfIPxC8x5KNxm0EyzkkSHsI&#10;2qBJP4ChlhYBvkCylvz3Wa5sJWiLAgl6IShyZ3ZmuNpcjdawPcSkvWv5clFzBk76Trtdy38+3p5/&#10;5ixl4TphvIOWHyDxq+3Zh80QGlj53psOIkMSl5ohtLzPOTRVlWQPVqSFD+DwUvloRcbPuKu6KAZk&#10;t6Za1fW6GnzsQvQSUsLTm+mSb4lfKZD5u1IJMjMtR22Z1kjrU1mr7UY0uyhCr+VRhniHCiu0w6Yz&#10;1Y3Igv2K+g8qq2X0yau8kN5WXiktgTygm2X9m5uHXgQgLxhOCnNM6f/Rym/7a3cfMYYhpCaF+1hc&#10;jCpapowOX/FNyRcqZSPFdphjgzEziYeXF6sLziRefFyvP+Ee2aqJpJCFmPIX8JaVTcuNdsWTaMT+&#10;LuWp9FSCuBcZtMsHA6XYuB+gmO6w3SSIJgSuTWR7gW8rpASXl8fWVF1gShszA2tq+0/gsb5Agabn&#10;LeAZQZ29yzPYaufj37rn8SRZTfWnBCbfJYIn3x3ogSgaHAMK9ziyZc5efxP85cfaPgMAAP//AwBQ&#10;SwMEFAAGAAgAAAAhAPXf5PnhAAAACwEAAA8AAABkcnMvZG93bnJldi54bWxMj8FOwzAQRO9I/IO1&#10;SFwQdbAalIY4FULAoZxaqFRuTrwkUeN1FLtp+HuWExxHM5p5U6xn14sJx9B50nC3SEAg1d521Gj4&#10;eH+5zUCEaMia3hNq+MYA6/LyojC59Wfa4rSLjeASCrnR0MY45FKGukVnwsIPSOx9+dGZyHJspB3N&#10;mctdL1WS3EtnOuKF1gz41GJ93J2chs/gw/N+U02vx+1mNjdvUR1qq/X11fz4ACLiHP/C8IvP6FAy&#10;U+VPZIPoNaQq4y+RjWW2AsGJVK1SEJUGpdQSZFnI/x/KHwAAAP//AwBQSwECLQAUAAYACAAAACEA&#10;toM4kv4AAADhAQAAEwAAAAAAAAAAAAAAAAAAAAAAW0NvbnRlbnRfVHlwZXNdLnhtbFBLAQItABQA&#10;BgAIAAAAIQA4/SH/1gAAAJQBAAALAAAAAAAAAAAAAAAAAC8BAABfcmVscy8ucmVsc1BLAQItABQA&#10;BgAIAAAAIQBttzVDpwEAAKADAAAOAAAAAAAAAAAAAAAAAC4CAABkcnMvZTJvRG9jLnhtbFBLAQIt&#10;ABQABgAIAAAAIQD13+T5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732901">
        <w:rPr>
          <w:noProof/>
        </w:rPr>
        <w:drawing>
          <wp:inline distT="0" distB="0" distL="0" distR="0" wp14:anchorId="6723058A" wp14:editId="7C733C1F">
            <wp:extent cx="5943600" cy="3418205"/>
            <wp:effectExtent l="0" t="133350" r="19050" b="1079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ACC98D8-E30D-9E59-FD78-7DF57656E5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5EFD3B1" w14:textId="77777777" w:rsidR="00BA0284" w:rsidRPr="00971EEB" w:rsidRDefault="00BA0284" w:rsidP="00BA0284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971EEB">
        <w:rPr>
          <w:rFonts w:ascii="Arial" w:hAnsi="Arial" w:cs="Arial"/>
          <w:b/>
          <w:bCs/>
          <w:sz w:val="24"/>
          <w:szCs w:val="24"/>
        </w:rPr>
        <w:t xml:space="preserve">Accountability </w:t>
      </w:r>
    </w:p>
    <w:p w14:paraId="5C98DFE1" w14:textId="15A13FF5" w:rsidR="00BA0284" w:rsidRPr="00F46914" w:rsidRDefault="00BA0284" w:rsidP="00BA028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lang w:val="en-US"/>
        </w:rPr>
      </w:pPr>
      <w:r w:rsidRPr="00F46914">
        <w:rPr>
          <w:rFonts w:ascii="Arial" w:hAnsi="Arial" w:cs="Arial"/>
          <w:lang w:val="en-US"/>
        </w:rPr>
        <w:t xml:space="preserve">This group brings together partners with shared goals for implementing the aims of the NHS Long Term Plan </w:t>
      </w:r>
      <w:r w:rsidR="0022706E">
        <w:rPr>
          <w:rFonts w:ascii="Arial" w:hAnsi="Arial" w:cs="Arial"/>
          <w:lang w:val="en-US"/>
        </w:rPr>
        <w:t>and the Integrated Care Partnership on improving population health</w:t>
      </w:r>
      <w:r w:rsidR="00CB45F2">
        <w:rPr>
          <w:rFonts w:ascii="Arial" w:hAnsi="Arial" w:cs="Arial"/>
          <w:lang w:val="en-US"/>
        </w:rPr>
        <w:t xml:space="preserve"> and reducing health inequalities</w:t>
      </w:r>
      <w:r w:rsidRPr="00F46914">
        <w:rPr>
          <w:rFonts w:ascii="Arial" w:hAnsi="Arial" w:cs="Arial"/>
          <w:lang w:val="en-US"/>
        </w:rPr>
        <w:t xml:space="preserve">.  </w:t>
      </w:r>
    </w:p>
    <w:p w14:paraId="6FD19C82" w14:textId="5F5F599B" w:rsidR="00BA0284" w:rsidRPr="00F46914" w:rsidRDefault="00BA0284" w:rsidP="00BA028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lang w:val="en-US"/>
        </w:rPr>
      </w:pPr>
      <w:r w:rsidRPr="00F46914">
        <w:rPr>
          <w:rFonts w:ascii="Arial" w:hAnsi="Arial" w:cs="Arial"/>
          <w:lang w:val="en-US"/>
        </w:rPr>
        <w:t>Accountability to each other will be achieved through agreed outcomes and outputs, prioritization of group’s meetings</w:t>
      </w:r>
      <w:r w:rsidR="00F011DB">
        <w:rPr>
          <w:rFonts w:ascii="Arial" w:hAnsi="Arial" w:cs="Arial"/>
          <w:lang w:val="en-US"/>
        </w:rPr>
        <w:t xml:space="preserve"> and</w:t>
      </w:r>
      <w:r w:rsidRPr="00F46914">
        <w:rPr>
          <w:rFonts w:ascii="Arial" w:hAnsi="Arial" w:cs="Arial"/>
          <w:lang w:val="en-US"/>
        </w:rPr>
        <w:t xml:space="preserve"> honoring our commitments to the aims and objectives of the group. </w:t>
      </w:r>
    </w:p>
    <w:p w14:paraId="576E19B7" w14:textId="77777777" w:rsidR="00BA0284" w:rsidRPr="00F948D4" w:rsidRDefault="00BA0284" w:rsidP="00BA0284">
      <w:pPr>
        <w:pStyle w:val="Heading1"/>
        <w:rPr>
          <w:rFonts w:ascii="Arial" w:hAnsi="Arial" w:cs="Arial"/>
          <w:b/>
          <w:bCs/>
          <w:sz w:val="22"/>
          <w:szCs w:val="22"/>
        </w:rPr>
      </w:pPr>
      <w:r w:rsidRPr="00F948D4">
        <w:rPr>
          <w:rFonts w:ascii="Arial" w:hAnsi="Arial" w:cs="Arial"/>
          <w:b/>
          <w:bCs/>
          <w:sz w:val="22"/>
          <w:szCs w:val="22"/>
        </w:rPr>
        <w:t>Equality and Diversity</w:t>
      </w:r>
    </w:p>
    <w:p w14:paraId="35DD704D" w14:textId="3B0FD6BD" w:rsidR="00BA0284" w:rsidRPr="00F46914" w:rsidRDefault="00227D9F" w:rsidP="00BA028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partnership group </w:t>
      </w:r>
      <w:r w:rsidR="00BA0284" w:rsidRPr="00F46914">
        <w:rPr>
          <w:rFonts w:ascii="Arial" w:hAnsi="Arial" w:cs="Arial"/>
        </w:rPr>
        <w:t>has responsibility to equalities and diversity and will value, respect, and promote the rights, responsibilities, and dignity of individuals within all our professional activities and relationships.</w:t>
      </w:r>
    </w:p>
    <w:p w14:paraId="0B2A0641" w14:textId="77777777" w:rsidR="00BA0284" w:rsidRPr="00F948D4" w:rsidRDefault="00BA0284" w:rsidP="00BA0284">
      <w:pPr>
        <w:pStyle w:val="Heading1"/>
        <w:rPr>
          <w:rFonts w:ascii="Arial" w:hAnsi="Arial" w:cs="Arial"/>
          <w:b/>
          <w:bCs/>
          <w:sz w:val="22"/>
          <w:szCs w:val="22"/>
        </w:rPr>
      </w:pPr>
      <w:r w:rsidRPr="00F948D4">
        <w:rPr>
          <w:rFonts w:ascii="Arial" w:hAnsi="Arial" w:cs="Arial"/>
          <w:b/>
          <w:bCs/>
          <w:sz w:val="22"/>
          <w:szCs w:val="22"/>
        </w:rPr>
        <w:t>Review</w:t>
      </w:r>
    </w:p>
    <w:p w14:paraId="4DC28610" w14:textId="01B68742" w:rsidR="00AA3C0B" w:rsidRPr="009B336A" w:rsidRDefault="00BA0284" w:rsidP="004102CA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lang w:val="en-US"/>
        </w:rPr>
      </w:pPr>
      <w:r w:rsidRPr="009B336A">
        <w:rPr>
          <w:rFonts w:ascii="Arial" w:hAnsi="Arial" w:cs="Arial"/>
          <w:lang w:val="en-US"/>
        </w:rPr>
        <w:t>Terms of reference to be reviewed in March 202</w:t>
      </w:r>
      <w:r w:rsidR="004F4FBC">
        <w:rPr>
          <w:rFonts w:ascii="Arial" w:hAnsi="Arial" w:cs="Arial"/>
          <w:lang w:val="en-US"/>
        </w:rPr>
        <w:t>5</w:t>
      </w:r>
      <w:r w:rsidRPr="009B336A">
        <w:rPr>
          <w:rFonts w:ascii="Arial" w:hAnsi="Arial" w:cs="Arial"/>
          <w:lang w:val="en-US"/>
        </w:rPr>
        <w:t xml:space="preserve">. </w:t>
      </w:r>
      <w:r w:rsidR="00AA3C0B" w:rsidRPr="009B336A">
        <w:rPr>
          <w:rFonts w:ascii="Arial" w:hAnsi="Arial" w:cs="Arial"/>
          <w:lang w:val="en-US"/>
        </w:rPr>
        <w:br w:type="page"/>
      </w:r>
    </w:p>
    <w:p w14:paraId="6141241F" w14:textId="5E60751B" w:rsidR="00650AA1" w:rsidRPr="003A1A52" w:rsidRDefault="00650AA1" w:rsidP="00650AA1">
      <w:pPr>
        <w:pStyle w:val="Heading1"/>
        <w:rPr>
          <w:color w:val="5B9BD5" w:themeColor="accent1"/>
        </w:rPr>
      </w:pPr>
      <w:commentRangeStart w:id="1"/>
      <w:r>
        <w:rPr>
          <w:lang w:val="en-US"/>
        </w:rPr>
        <w:lastRenderedPageBreak/>
        <w:t xml:space="preserve">Appendix: </w:t>
      </w:r>
      <w:r w:rsidRPr="003A1A52">
        <w:rPr>
          <w:color w:val="5B9BD5" w:themeColor="accent1"/>
        </w:rPr>
        <w:t>RA</w:t>
      </w:r>
      <w:r>
        <w:rPr>
          <w:color w:val="5B9BD5" w:themeColor="accent1"/>
        </w:rPr>
        <w:t>S</w:t>
      </w:r>
      <w:r w:rsidRPr="003A1A52">
        <w:rPr>
          <w:color w:val="5B9BD5" w:themeColor="accent1"/>
        </w:rPr>
        <w:t>CI</w:t>
      </w:r>
      <w:r>
        <w:rPr>
          <w:color w:val="5B9BD5" w:themeColor="accent1"/>
        </w:rPr>
        <w:t xml:space="preserve"> for membership</w:t>
      </w:r>
      <w:commentRangeEnd w:id="1"/>
      <w:r>
        <w:rPr>
          <w:rStyle w:val="CommentReference"/>
          <w:rFonts w:asciiTheme="minorHAnsi" w:eastAsiaTheme="minorHAnsi" w:hAnsiTheme="minorHAnsi" w:cstheme="minorBidi"/>
          <w:color w:val="auto"/>
        </w:rPr>
        <w:commentReference w:id="1"/>
      </w:r>
    </w:p>
    <w:p w14:paraId="1B13AFF3" w14:textId="77777777" w:rsidR="00650AA1" w:rsidRDefault="00650AA1" w:rsidP="00650AA1">
      <w:pPr>
        <w:spacing w:after="200" w:line="276" w:lineRule="auto"/>
        <w:rPr>
          <w:rFonts w:ascii="Arial" w:hAnsi="Arial" w:cs="Arial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608"/>
        <w:gridCol w:w="642"/>
        <w:gridCol w:w="1023"/>
        <w:gridCol w:w="562"/>
        <w:gridCol w:w="503"/>
        <w:gridCol w:w="931"/>
        <w:gridCol w:w="514"/>
        <w:gridCol w:w="736"/>
      </w:tblGrid>
      <w:tr w:rsidR="00A905FF" w:rsidRPr="005A5E92" w14:paraId="7F9BC466" w14:textId="77777777" w:rsidTr="007A5A27"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5D51CC53" w14:textId="77777777" w:rsidR="00A905FF" w:rsidRPr="005A5E92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Activity 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26187E32" w14:textId="69ECA46C" w:rsidR="00A905FF" w:rsidRPr="005A5E92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ICB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14AE092D" w14:textId="3D394430" w:rsidR="00A905FF" w:rsidRPr="005A5E92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LA</w:t>
            </w:r>
          </w:p>
        </w:tc>
        <w:tc>
          <w:tcPr>
            <w:tcW w:w="102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8CCE4"/>
            <w:hideMark/>
          </w:tcPr>
          <w:p w14:paraId="73A2C1FC" w14:textId="04F37EF3" w:rsidR="00A905FF" w:rsidRPr="005A5E92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Place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6960C7D" w14:textId="072ADEE5" w:rsidR="00A905FF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UKHSA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5F8DB0E" w14:textId="42A45D24" w:rsidR="00A905FF" w:rsidRPr="005A5E92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VSCE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5122D504" w14:textId="73F2BD58" w:rsidR="00A905FF" w:rsidRPr="005A5E92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HealthWatch</w:t>
            </w:r>
          </w:p>
        </w:tc>
        <w:tc>
          <w:tcPr>
            <w:tcW w:w="5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052D292" w14:textId="77777777" w:rsidR="00A905FF" w:rsidRDefault="00A905FF" w:rsidP="00E63042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Patient Public Voices</w:t>
            </w:r>
          </w:p>
          <w:p w14:paraId="4464F5E4" w14:textId="77777777" w:rsidR="00A905FF" w:rsidRPr="005A5E92" w:rsidRDefault="00A905FF" w:rsidP="00E63042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703A1746" w14:textId="77777777" w:rsidR="00A905FF" w:rsidRPr="005A5E92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Providers </w:t>
            </w:r>
          </w:p>
        </w:tc>
      </w:tr>
      <w:tr w:rsidR="00A905FF" w:rsidRPr="005A5E92" w14:paraId="755AAE6E" w14:textId="77777777" w:rsidTr="007A5A27">
        <w:tc>
          <w:tcPr>
            <w:tcW w:w="2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A7385" w14:textId="5F95129E" w:rsidR="00A905FF" w:rsidRPr="005A5E92" w:rsidRDefault="007A5A27" w:rsidP="00E63042">
            <w:pPr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="00A905FF" w:rsidRPr="005A5E92">
              <w:rPr>
                <w:rFonts w:ascii="Arial" w:hAnsi="Arial" w:cs="Arial"/>
                <w:sz w:val="16"/>
                <w:szCs w:val="16"/>
                <w:lang w:eastAsia="en-GB"/>
              </w:rPr>
              <w:t xml:space="preserve">ystem leadership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for </w:t>
            </w:r>
            <w:r w:rsidR="00F67A4A">
              <w:rPr>
                <w:rFonts w:ascii="Arial" w:hAnsi="Arial" w:cs="Arial"/>
                <w:sz w:val="16"/>
                <w:szCs w:val="16"/>
                <w:lang w:eastAsia="en-GB"/>
              </w:rPr>
              <w:t>population health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E6F8A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R/A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9B9C8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BE8ED6C" w14:textId="6BA8E39B" w:rsidR="00A905FF" w:rsidRPr="005A5E92" w:rsidRDefault="00F67A4A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</w:t>
            </w:r>
            <w:r w:rsidR="00A905FF"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A411" w14:textId="1F4CC866" w:rsidR="00A905FF" w:rsidRPr="005A5E92" w:rsidRDefault="00D873D9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11D1" w14:textId="712B178E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D40A3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S/C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59285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2D8FA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</w:tr>
      <w:tr w:rsidR="00A905FF" w:rsidRPr="005A5E92" w14:paraId="491CA930" w14:textId="77777777" w:rsidTr="007A5A27">
        <w:tc>
          <w:tcPr>
            <w:tcW w:w="2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694C2" w14:textId="77777777" w:rsidR="00A905FF" w:rsidRPr="00767022" w:rsidRDefault="00A905FF" w:rsidP="00E63042">
            <w:pPr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67022">
              <w:rPr>
                <w:rFonts w:ascii="Arial" w:hAnsi="Arial" w:cs="Arial"/>
                <w:sz w:val="16"/>
                <w:szCs w:val="16"/>
                <w:lang w:eastAsia="en-GB"/>
              </w:rPr>
              <w:t>Accountable for ICP workstream performance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57D84" w14:textId="77777777" w:rsidR="00A905FF" w:rsidRPr="00767022" w:rsidRDefault="00A905FF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R/A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CFCC8" w14:textId="77777777" w:rsidR="00A905FF" w:rsidRPr="00767022" w:rsidRDefault="00A905FF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AFA579A" w14:textId="77777777" w:rsidR="00A905FF" w:rsidRPr="00767022" w:rsidRDefault="00A905FF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8E2" w14:textId="5FB0C0C7" w:rsidR="00A905FF" w:rsidRPr="005A5E92" w:rsidRDefault="00D873D9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8BB5" w14:textId="1BEC8CFF" w:rsidR="00A905FF" w:rsidRPr="00767022" w:rsidRDefault="00A905FF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I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F73A6" w14:textId="77777777" w:rsidR="00A905FF" w:rsidRPr="00767022" w:rsidRDefault="00A905FF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4796D" w14:textId="77777777" w:rsidR="00A905FF" w:rsidRPr="00767022" w:rsidRDefault="00A905FF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32770" w14:textId="77777777" w:rsidR="00A905FF" w:rsidRPr="00767022" w:rsidRDefault="00A905FF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</w:tr>
      <w:tr w:rsidR="00A905FF" w:rsidRPr="005A5E92" w14:paraId="095E82B2" w14:textId="77777777" w:rsidTr="007A5A27">
        <w:tc>
          <w:tcPr>
            <w:tcW w:w="2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2BA55" w14:textId="35D3FB94" w:rsidR="00A905FF" w:rsidRPr="005A5E92" w:rsidRDefault="00A905FF" w:rsidP="00E63042">
            <w:pPr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Commission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preventative services &amp; health </w:t>
            </w:r>
            <w:r w:rsidR="00A8482E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impact &amp;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equity audits of services</w:t>
            </w:r>
            <w:r w:rsidRPr="005A5E92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318D5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R/A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C87EE" w14:textId="6A34C7B1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R/A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7E7AC86" w14:textId="39632806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808" w14:textId="1AE07653" w:rsidR="00A905FF" w:rsidRPr="005A5E92" w:rsidRDefault="00D873D9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5C34" w14:textId="697359AB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I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83AB1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I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05F42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34157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</w:tr>
      <w:tr w:rsidR="00A905FF" w:rsidRPr="005A5E92" w14:paraId="0D2EC2D6" w14:textId="77777777" w:rsidTr="007A5A27">
        <w:tc>
          <w:tcPr>
            <w:tcW w:w="2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4A812" w14:textId="77777777" w:rsidR="00A905FF" w:rsidRPr="005A5E92" w:rsidRDefault="00A905FF" w:rsidP="00E63042">
            <w:pPr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 xml:space="preserve">Plan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and implement 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strategy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0AC49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R/A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E15A7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BD19D29" w14:textId="36E4B72C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B30" w14:textId="30281470" w:rsidR="00A905FF" w:rsidRPr="005A5E92" w:rsidRDefault="00D873D9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DA2E" w14:textId="2A045EF1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S/C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CD799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S/C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7EDF6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S/C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0C6FE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S/C </w:t>
            </w:r>
          </w:p>
        </w:tc>
      </w:tr>
      <w:tr w:rsidR="00A905FF" w:rsidRPr="005A5E92" w14:paraId="7A773BD1" w14:textId="77777777" w:rsidTr="007A5A27">
        <w:tc>
          <w:tcPr>
            <w:tcW w:w="2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546EF" w14:textId="77777777" w:rsidR="00A905FF" w:rsidRPr="005A5E92" w:rsidRDefault="00A905FF" w:rsidP="00E63042">
            <w:pPr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System-wide communications &amp; marketing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F2BB2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C2296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C377C95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8EC" w14:textId="0CA4CEB4" w:rsidR="00A905FF" w:rsidRPr="005A5E92" w:rsidRDefault="00D873D9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1A6C" w14:textId="2337C9B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98736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5049F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F3814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</w:tr>
      <w:tr w:rsidR="00A905FF" w:rsidRPr="005A5E92" w14:paraId="7DECCD3A" w14:textId="77777777" w:rsidTr="007A5A27">
        <w:tc>
          <w:tcPr>
            <w:tcW w:w="2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EB7FD" w14:textId="296445A6" w:rsidR="00A905FF" w:rsidRPr="005A5E92" w:rsidRDefault="00A905FF" w:rsidP="00E63042">
            <w:pPr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Reduce healthcare equalities in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 xml:space="preserve"> services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53083" w14:textId="08040494" w:rsidR="00A905FF" w:rsidRPr="005A5E92" w:rsidRDefault="00BA65EC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R/A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2F5FE" w14:textId="62DE3636" w:rsidR="00A905FF" w:rsidRPr="005A5E92" w:rsidRDefault="00BA65EC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="00A905FF"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B63FA65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ED5" w14:textId="0A7A84F1" w:rsidR="00A905FF" w:rsidRPr="005A5E92" w:rsidRDefault="00D873D9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EEE6" w14:textId="0B5CBDB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C/I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ED149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C/I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FAE5E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C/I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1259C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 </w:t>
            </w:r>
          </w:p>
        </w:tc>
      </w:tr>
      <w:tr w:rsidR="00A905FF" w:rsidRPr="006A2258" w14:paraId="3721F500" w14:textId="77777777" w:rsidTr="007A5A27">
        <w:tc>
          <w:tcPr>
            <w:tcW w:w="2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A1812" w14:textId="77777777" w:rsidR="00A905FF" w:rsidRPr="005A5E92" w:rsidRDefault="00A905FF" w:rsidP="00E63042">
            <w:pPr>
              <w:textAlignment w:val="baseline"/>
              <w:rPr>
                <w:sz w:val="16"/>
                <w:szCs w:val="16"/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Data review &amp; real-time action planning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A1087" w14:textId="77777777" w:rsidR="00A905FF" w:rsidRPr="005A5E92" w:rsidRDefault="00A905FF" w:rsidP="00E63042">
            <w:pPr>
              <w:jc w:val="center"/>
              <w:textAlignment w:val="baseline"/>
              <w:rPr>
                <w:sz w:val="16"/>
                <w:szCs w:val="16"/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R/A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8E867" w14:textId="023FD6B8" w:rsidR="00A905FF" w:rsidRPr="005A5E92" w:rsidRDefault="00A905FF" w:rsidP="00E63042">
            <w:pPr>
              <w:jc w:val="center"/>
              <w:textAlignment w:val="baseline"/>
              <w:rPr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828A929" w14:textId="081DEAB9" w:rsidR="00A905FF" w:rsidRPr="00A35725" w:rsidRDefault="00A905FF" w:rsidP="00E63042">
            <w:pPr>
              <w:jc w:val="center"/>
              <w:textAlignment w:val="baseline"/>
              <w:rPr>
                <w:sz w:val="20"/>
                <w:szCs w:val="20"/>
                <w:lang w:eastAsia="en-GB"/>
              </w:rPr>
            </w:pPr>
            <w:r w:rsidRPr="00A35725">
              <w:rPr>
                <w:sz w:val="20"/>
                <w:szCs w:val="20"/>
                <w:lang w:eastAsia="en-GB"/>
              </w:rPr>
              <w:t>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D3E" w14:textId="25F893C2" w:rsidR="00A905FF" w:rsidRPr="006A2258" w:rsidRDefault="00D873D9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598B" w14:textId="5D258573" w:rsidR="00A905FF" w:rsidRPr="005A5E92" w:rsidRDefault="00E350F6" w:rsidP="00E63042">
            <w:pPr>
              <w:jc w:val="center"/>
              <w:textAlignment w:val="baseline"/>
              <w:rPr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E0690" w14:textId="77777777" w:rsidR="00A905FF" w:rsidRPr="005A5E92" w:rsidRDefault="00A905FF" w:rsidP="00E63042">
            <w:pPr>
              <w:jc w:val="center"/>
              <w:textAlignment w:val="baseline"/>
              <w:rPr>
                <w:sz w:val="16"/>
                <w:szCs w:val="16"/>
                <w:lang w:eastAsia="en-GB"/>
              </w:rPr>
            </w:pPr>
            <w:r w:rsidRPr="006A2258">
              <w:rPr>
                <w:sz w:val="16"/>
                <w:szCs w:val="16"/>
                <w:lang w:eastAsia="en-GB"/>
              </w:rPr>
              <w:t>C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E665B" w14:textId="77777777" w:rsidR="00A905FF" w:rsidRPr="005A5E92" w:rsidRDefault="00A905FF" w:rsidP="00E63042">
            <w:pPr>
              <w:jc w:val="center"/>
              <w:textAlignment w:val="baseline"/>
              <w:rPr>
                <w:sz w:val="16"/>
                <w:szCs w:val="16"/>
                <w:lang w:eastAsia="en-GB"/>
              </w:rPr>
            </w:pPr>
            <w:r w:rsidRPr="006A2258">
              <w:rPr>
                <w:rFonts w:ascii="Arial" w:hAnsi="Arial" w:cs="Arial"/>
                <w:sz w:val="16"/>
                <w:szCs w:val="16"/>
                <w:lang w:eastAsia="en-GB"/>
              </w:rPr>
              <w:t>C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972B3" w14:textId="77777777" w:rsidR="00A905FF" w:rsidRPr="005A5E92" w:rsidRDefault="00A905FF" w:rsidP="00E63042">
            <w:pPr>
              <w:jc w:val="center"/>
              <w:textAlignment w:val="baseline"/>
              <w:rPr>
                <w:sz w:val="16"/>
                <w:szCs w:val="16"/>
                <w:lang w:eastAsia="en-GB"/>
              </w:rPr>
            </w:pPr>
            <w:r w:rsidRPr="006A2258"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A905FF" w:rsidRPr="005A5E92" w14:paraId="1DED1F8F" w14:textId="77777777" w:rsidTr="007A5A27">
        <w:tc>
          <w:tcPr>
            <w:tcW w:w="2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0CEC7" w14:textId="3F94ACC0" w:rsidR="00A905FF" w:rsidRPr="005A5E92" w:rsidRDefault="00A905FF" w:rsidP="00E63042">
            <w:pPr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Provision of information and advice to relevant bodies within boroughs to protect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population’s health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97098" w14:textId="584BE1BD" w:rsidR="00A905FF" w:rsidRPr="005A5E92" w:rsidRDefault="00E350F6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</w:t>
            </w:r>
            <w:r w:rsidR="00A905FF"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18248" w14:textId="53A27DC4" w:rsidR="00A905FF" w:rsidRPr="005A5E92" w:rsidRDefault="007A5A27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1200927" w14:textId="2A8C8E9B" w:rsidR="00A905FF" w:rsidRPr="005A5E92" w:rsidRDefault="00E350F6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S/</w:t>
            </w:r>
            <w:r w:rsidR="00A905FF" w:rsidRPr="005A5E92">
              <w:rPr>
                <w:rFonts w:ascii="Arial" w:hAnsi="Arial" w:cs="Arial"/>
                <w:sz w:val="16"/>
                <w:szCs w:val="16"/>
                <w:lang w:eastAsia="en-GB"/>
              </w:rPr>
              <w:t>C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BC8" w14:textId="5C2AD1FD" w:rsidR="00A905FF" w:rsidRPr="005A5E92" w:rsidRDefault="00A905FF" w:rsidP="00E63042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R/A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06E5" w14:textId="52578C5D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13DFB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S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3A844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C/I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B09A0" w14:textId="77777777" w:rsidR="00A905FF" w:rsidRPr="005A5E92" w:rsidRDefault="00A905FF" w:rsidP="00E63042">
            <w:pPr>
              <w:jc w:val="center"/>
              <w:textAlignment w:val="baseline"/>
              <w:rPr>
                <w:lang w:eastAsia="en-GB"/>
              </w:rPr>
            </w:pPr>
            <w:r w:rsidRPr="005A5E92">
              <w:rPr>
                <w:rFonts w:ascii="Arial" w:hAnsi="Arial" w:cs="Arial"/>
                <w:sz w:val="16"/>
                <w:szCs w:val="16"/>
                <w:lang w:eastAsia="en-GB"/>
              </w:rPr>
              <w:t>C/I </w:t>
            </w:r>
          </w:p>
        </w:tc>
      </w:tr>
    </w:tbl>
    <w:p w14:paraId="5DEAAFF6" w14:textId="77777777" w:rsidR="00650AA1" w:rsidRPr="003E6362" w:rsidRDefault="00650AA1" w:rsidP="00650AA1">
      <w:pPr>
        <w:jc w:val="both"/>
        <w:textAlignment w:val="baseline"/>
        <w:rPr>
          <w:rFonts w:ascii="Arial" w:hAnsi="Arial" w:cs="Arial"/>
        </w:rPr>
      </w:pPr>
      <w:r w:rsidRPr="005A5E92">
        <w:rPr>
          <w:rFonts w:ascii="Arial" w:hAnsi="Arial" w:cs="Arial"/>
          <w:noProof/>
        </w:rPr>
        <w:drawing>
          <wp:inline distT="0" distB="0" distL="0" distR="0" wp14:anchorId="6EE44380" wp14:editId="45FE7E49">
            <wp:extent cx="5731510" cy="864235"/>
            <wp:effectExtent l="0" t="0" r="2540" b="0"/>
            <wp:docPr id="6" name="Picture 6" descr="C:\Users\cheffernan\AppData\Local\Microsoft\Windows\INetCache\Content.MSO\32E11E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fernan\AppData\Local\Microsoft\Windows\INetCache\Content.MSO\32E11E5B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E92">
        <w:rPr>
          <w:lang w:eastAsia="en-GB"/>
        </w:rPr>
        <w:t> </w:t>
      </w:r>
    </w:p>
    <w:p w14:paraId="0F6D4B09" w14:textId="77777777" w:rsidR="00650AA1" w:rsidRPr="003A1A52" w:rsidRDefault="00650AA1" w:rsidP="00650AA1">
      <w:pPr>
        <w:pStyle w:val="Heading2"/>
        <w:rPr>
          <w:rFonts w:cs="Arial"/>
        </w:rPr>
      </w:pPr>
      <w:r w:rsidRPr="003A1A52">
        <w:rPr>
          <w:rFonts w:cs="Arial"/>
        </w:rPr>
        <w:t xml:space="preserve">Frequency of Meetings </w:t>
      </w:r>
    </w:p>
    <w:p w14:paraId="50622C0F" w14:textId="77777777" w:rsidR="00650AA1" w:rsidRPr="00F46914" w:rsidRDefault="00650AA1" w:rsidP="00650AA1">
      <w:pPr>
        <w:pStyle w:val="ListParagraph"/>
        <w:spacing w:after="200" w:line="276" w:lineRule="auto"/>
        <w:rPr>
          <w:rFonts w:ascii="Arial" w:hAnsi="Arial" w:cs="Arial"/>
          <w:lang w:val="en-US"/>
        </w:rPr>
      </w:pPr>
    </w:p>
    <w:sectPr w:rsidR="00650AA1" w:rsidRPr="00F46914" w:rsidSect="00A77ECA">
      <w:headerReference w:type="even" r:id="rId21"/>
      <w:headerReference w:type="default" r:id="rId22"/>
      <w:headerReference w:type="first" r:id="rId23"/>
      <w:pgSz w:w="12240" w:h="15840"/>
      <w:pgMar w:top="851" w:right="1440" w:bottom="568" w:left="1440" w:header="72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atherine Heffernan" w:date="2023-08-14T12:50:00Z" w:initials="CH">
    <w:p w14:paraId="35797842" w14:textId="77777777" w:rsidR="00164E14" w:rsidRDefault="00650AA1" w:rsidP="003C0BEA">
      <w:pPr>
        <w:pStyle w:val="CommentText"/>
      </w:pPr>
      <w:r>
        <w:rPr>
          <w:rStyle w:val="CommentReference"/>
        </w:rPr>
        <w:annotationRef/>
      </w:r>
      <w:r w:rsidR="00164E14">
        <w:t>Will be removed from final ToR.  Just for discussion to inform that we have the right membership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7978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4A179" w16cex:dateUtc="2023-08-14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97842" w16cid:durableId="2884A1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3EB1" w14:textId="77777777" w:rsidR="00A77ECA" w:rsidRDefault="00A77ECA" w:rsidP="005C46CB">
      <w:pPr>
        <w:spacing w:after="0" w:line="240" w:lineRule="auto"/>
      </w:pPr>
      <w:r>
        <w:separator/>
      </w:r>
    </w:p>
  </w:endnote>
  <w:endnote w:type="continuationSeparator" w:id="0">
    <w:p w14:paraId="1F3F6ED3" w14:textId="77777777" w:rsidR="00A77ECA" w:rsidRDefault="00A77ECA" w:rsidP="005C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1332" w14:textId="77777777" w:rsidR="00A77ECA" w:rsidRDefault="00A77ECA" w:rsidP="005C46CB">
      <w:pPr>
        <w:spacing w:after="0" w:line="240" w:lineRule="auto"/>
      </w:pPr>
      <w:r>
        <w:separator/>
      </w:r>
    </w:p>
  </w:footnote>
  <w:footnote w:type="continuationSeparator" w:id="0">
    <w:p w14:paraId="6AEDDB08" w14:textId="77777777" w:rsidR="00A77ECA" w:rsidRDefault="00A77ECA" w:rsidP="005C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0ACB" w14:textId="64DFBF76" w:rsidR="00044285" w:rsidRDefault="000442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6C100D5" wp14:editId="3688D2C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69751" w14:textId="48F7CE86" w:rsidR="00044285" w:rsidRPr="00044285" w:rsidRDefault="000442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4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100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77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4569751" w14:textId="48F7CE86" w:rsidR="00044285" w:rsidRPr="00044285" w:rsidRDefault="000442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4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177530"/>
      <w:docPartObj>
        <w:docPartGallery w:val="Watermarks"/>
        <w:docPartUnique/>
      </w:docPartObj>
    </w:sdtPr>
    <w:sdtEndPr/>
    <w:sdtContent>
      <w:p w14:paraId="265F61EA" w14:textId="77777777" w:rsidR="00700628" w:rsidRDefault="00867FB2">
        <w:pPr>
          <w:pStyle w:val="Header"/>
        </w:pPr>
        <w:r>
          <w:rPr>
            <w:noProof/>
          </w:rPr>
          <w:pict w14:anchorId="485B90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B68A" w14:textId="75BA0987" w:rsidR="00044285" w:rsidRDefault="000442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D0C8483" wp14:editId="4E19ABB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AB042" w14:textId="3698B90E" w:rsidR="00044285" w:rsidRPr="00044285" w:rsidRDefault="000442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4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C84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.05pt;width:34.95pt;height:34.95pt;z-index:2516567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F8AB042" w14:textId="3698B90E" w:rsidR="00044285" w:rsidRPr="00044285" w:rsidRDefault="000442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4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627"/>
    <w:multiLevelType w:val="hybridMultilevel"/>
    <w:tmpl w:val="E8384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598"/>
    <w:multiLevelType w:val="hybridMultilevel"/>
    <w:tmpl w:val="C58AE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1CB"/>
    <w:multiLevelType w:val="hybridMultilevel"/>
    <w:tmpl w:val="BA98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36E2"/>
    <w:multiLevelType w:val="hybridMultilevel"/>
    <w:tmpl w:val="8C62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3CF"/>
    <w:multiLevelType w:val="hybridMultilevel"/>
    <w:tmpl w:val="66625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C4D5B"/>
    <w:multiLevelType w:val="multilevel"/>
    <w:tmpl w:val="BA26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10694"/>
    <w:multiLevelType w:val="hybridMultilevel"/>
    <w:tmpl w:val="A54AB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0742C"/>
    <w:multiLevelType w:val="hybridMultilevel"/>
    <w:tmpl w:val="22C41764"/>
    <w:lvl w:ilvl="0" w:tplc="C8723CA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C056A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F083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2C22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EA32F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D2CAC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2667B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CC1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A292B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F3F64DA"/>
    <w:multiLevelType w:val="hybridMultilevel"/>
    <w:tmpl w:val="7AF2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00818"/>
    <w:multiLevelType w:val="hybridMultilevel"/>
    <w:tmpl w:val="6CA4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94F"/>
    <w:multiLevelType w:val="hybridMultilevel"/>
    <w:tmpl w:val="6772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6B5"/>
    <w:multiLevelType w:val="hybridMultilevel"/>
    <w:tmpl w:val="4B845F34"/>
    <w:lvl w:ilvl="0" w:tplc="BAE2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8B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88E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E2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AF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0A8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C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21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CE0D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439C3"/>
    <w:multiLevelType w:val="hybridMultilevel"/>
    <w:tmpl w:val="54B8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D30DF"/>
    <w:multiLevelType w:val="hybridMultilevel"/>
    <w:tmpl w:val="2BF24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22579"/>
    <w:multiLevelType w:val="hybridMultilevel"/>
    <w:tmpl w:val="93246A9C"/>
    <w:lvl w:ilvl="0" w:tplc="7046C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A5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A8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03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4F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4D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A7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0C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C23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1787E"/>
    <w:multiLevelType w:val="hybridMultilevel"/>
    <w:tmpl w:val="A9247B5C"/>
    <w:lvl w:ilvl="0" w:tplc="1422E3A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3E91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1E8AA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0E561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24B99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28120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3A78E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F6A5B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6C870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36E8149B"/>
    <w:multiLevelType w:val="hybridMultilevel"/>
    <w:tmpl w:val="1C34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3195C"/>
    <w:multiLevelType w:val="hybridMultilevel"/>
    <w:tmpl w:val="20DCF4C2"/>
    <w:lvl w:ilvl="0" w:tplc="6E60D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CA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6C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4C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87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9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8B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A0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6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B94EB9"/>
    <w:multiLevelType w:val="hybridMultilevel"/>
    <w:tmpl w:val="9C784978"/>
    <w:lvl w:ilvl="0" w:tplc="05109C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00D34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7A16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6EF5D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16F5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13EB69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D4AF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B6B4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B4C6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DFA6BFC"/>
    <w:multiLevelType w:val="hybridMultilevel"/>
    <w:tmpl w:val="D3564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C3DE1"/>
    <w:multiLevelType w:val="hybridMultilevel"/>
    <w:tmpl w:val="26281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56EEB"/>
    <w:multiLevelType w:val="hybridMultilevel"/>
    <w:tmpl w:val="9838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C084F"/>
    <w:multiLevelType w:val="hybridMultilevel"/>
    <w:tmpl w:val="DBB68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B47"/>
    <w:multiLevelType w:val="hybridMultilevel"/>
    <w:tmpl w:val="0A1C3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915B5"/>
    <w:multiLevelType w:val="hybridMultilevel"/>
    <w:tmpl w:val="0034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40BF0"/>
    <w:multiLevelType w:val="hybridMultilevel"/>
    <w:tmpl w:val="5888B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F509E"/>
    <w:multiLevelType w:val="hybridMultilevel"/>
    <w:tmpl w:val="2A02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55AFB"/>
    <w:multiLevelType w:val="hybridMultilevel"/>
    <w:tmpl w:val="FA9CC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AD250E"/>
    <w:multiLevelType w:val="hybridMultilevel"/>
    <w:tmpl w:val="8370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871FD"/>
    <w:multiLevelType w:val="hybridMultilevel"/>
    <w:tmpl w:val="9DC87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147FB"/>
    <w:multiLevelType w:val="hybridMultilevel"/>
    <w:tmpl w:val="5D64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C2E90"/>
    <w:multiLevelType w:val="hybridMultilevel"/>
    <w:tmpl w:val="DE10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D5CEA"/>
    <w:multiLevelType w:val="hybridMultilevel"/>
    <w:tmpl w:val="6ABE6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2864">
    <w:abstractNumId w:val="24"/>
  </w:num>
  <w:num w:numId="2" w16cid:durableId="1529103779">
    <w:abstractNumId w:val="10"/>
  </w:num>
  <w:num w:numId="3" w16cid:durableId="1095247229">
    <w:abstractNumId w:val="28"/>
  </w:num>
  <w:num w:numId="4" w16cid:durableId="1672756384">
    <w:abstractNumId w:val="32"/>
  </w:num>
  <w:num w:numId="5" w16cid:durableId="1434739633">
    <w:abstractNumId w:val="22"/>
  </w:num>
  <w:num w:numId="6" w16cid:durableId="406150629">
    <w:abstractNumId w:val="6"/>
  </w:num>
  <w:num w:numId="7" w16cid:durableId="132139128">
    <w:abstractNumId w:val="1"/>
  </w:num>
  <w:num w:numId="8" w16cid:durableId="2025547256">
    <w:abstractNumId w:val="12"/>
  </w:num>
  <w:num w:numId="9" w16cid:durableId="2030401537">
    <w:abstractNumId w:val="20"/>
  </w:num>
  <w:num w:numId="10" w16cid:durableId="306787193">
    <w:abstractNumId w:val="9"/>
  </w:num>
  <w:num w:numId="11" w16cid:durableId="546336375">
    <w:abstractNumId w:val="27"/>
  </w:num>
  <w:num w:numId="12" w16cid:durableId="1315179950">
    <w:abstractNumId w:val="17"/>
  </w:num>
  <w:num w:numId="13" w16cid:durableId="188565675">
    <w:abstractNumId w:val="29"/>
  </w:num>
  <w:num w:numId="14" w16cid:durableId="2058551757">
    <w:abstractNumId w:val="13"/>
  </w:num>
  <w:num w:numId="15" w16cid:durableId="987902657">
    <w:abstractNumId w:val="2"/>
  </w:num>
  <w:num w:numId="16" w16cid:durableId="423917681">
    <w:abstractNumId w:val="14"/>
  </w:num>
  <w:num w:numId="17" w16cid:durableId="199560833">
    <w:abstractNumId w:val="21"/>
  </w:num>
  <w:num w:numId="18" w16cid:durableId="1468282740">
    <w:abstractNumId w:val="26"/>
  </w:num>
  <w:num w:numId="19" w16cid:durableId="230774298">
    <w:abstractNumId w:val="0"/>
  </w:num>
  <w:num w:numId="20" w16cid:durableId="1144926199">
    <w:abstractNumId w:val="3"/>
  </w:num>
  <w:num w:numId="21" w16cid:durableId="96145400">
    <w:abstractNumId w:val="30"/>
  </w:num>
  <w:num w:numId="22" w16cid:durableId="1150823509">
    <w:abstractNumId w:val="16"/>
  </w:num>
  <w:num w:numId="23" w16cid:durableId="1362510103">
    <w:abstractNumId w:val="23"/>
  </w:num>
  <w:num w:numId="24" w16cid:durableId="2107533739">
    <w:abstractNumId w:val="31"/>
  </w:num>
  <w:num w:numId="25" w16cid:durableId="689188417">
    <w:abstractNumId w:val="5"/>
  </w:num>
  <w:num w:numId="26" w16cid:durableId="1039864704">
    <w:abstractNumId w:val="25"/>
  </w:num>
  <w:num w:numId="27" w16cid:durableId="2041780776">
    <w:abstractNumId w:val="7"/>
  </w:num>
  <w:num w:numId="28" w16cid:durableId="1504205937">
    <w:abstractNumId w:val="15"/>
  </w:num>
  <w:num w:numId="29" w16cid:durableId="39743102">
    <w:abstractNumId w:val="18"/>
  </w:num>
  <w:num w:numId="30" w16cid:durableId="488863838">
    <w:abstractNumId w:val="19"/>
  </w:num>
  <w:num w:numId="31" w16cid:durableId="971980751">
    <w:abstractNumId w:val="8"/>
  </w:num>
  <w:num w:numId="32" w16cid:durableId="421532606">
    <w:abstractNumId w:val="4"/>
  </w:num>
  <w:num w:numId="33" w16cid:durableId="912351216">
    <w:abstractNumId w:val="11"/>
  </w:num>
  <w:num w:numId="34" w16cid:durableId="76214370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erine Heffernan">
    <w15:presenceInfo w15:providerId="AD" w15:userId="S::Catherine.Heffernan@richmondandwandsworth.gov.uk::f8619409-2ef1-44dc-a1cd-647499d491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3B"/>
    <w:rsid w:val="000020F5"/>
    <w:rsid w:val="00003071"/>
    <w:rsid w:val="000067B1"/>
    <w:rsid w:val="00013BEE"/>
    <w:rsid w:val="00017AFB"/>
    <w:rsid w:val="00022529"/>
    <w:rsid w:val="00044285"/>
    <w:rsid w:val="00045D92"/>
    <w:rsid w:val="00047F35"/>
    <w:rsid w:val="0005608B"/>
    <w:rsid w:val="000655F4"/>
    <w:rsid w:val="00072293"/>
    <w:rsid w:val="000744B6"/>
    <w:rsid w:val="000770F8"/>
    <w:rsid w:val="00081D96"/>
    <w:rsid w:val="00086D0C"/>
    <w:rsid w:val="00087D75"/>
    <w:rsid w:val="000932F4"/>
    <w:rsid w:val="00093BF9"/>
    <w:rsid w:val="000B06D7"/>
    <w:rsid w:val="000B2274"/>
    <w:rsid w:val="000B59F5"/>
    <w:rsid w:val="000B630A"/>
    <w:rsid w:val="000B633A"/>
    <w:rsid w:val="000B6390"/>
    <w:rsid w:val="000B6FC7"/>
    <w:rsid w:val="000C0247"/>
    <w:rsid w:val="000C0F81"/>
    <w:rsid w:val="000C17A6"/>
    <w:rsid w:val="000C6DDF"/>
    <w:rsid w:val="000C78D1"/>
    <w:rsid w:val="000D2B54"/>
    <w:rsid w:val="000D3145"/>
    <w:rsid w:val="000D46D4"/>
    <w:rsid w:val="000E02D6"/>
    <w:rsid w:val="000E0EB8"/>
    <w:rsid w:val="000F2B7E"/>
    <w:rsid w:val="000F6007"/>
    <w:rsid w:val="000F7A69"/>
    <w:rsid w:val="00104505"/>
    <w:rsid w:val="001063D7"/>
    <w:rsid w:val="00116F7E"/>
    <w:rsid w:val="00124D56"/>
    <w:rsid w:val="001267D0"/>
    <w:rsid w:val="0013591C"/>
    <w:rsid w:val="001402EE"/>
    <w:rsid w:val="0014195B"/>
    <w:rsid w:val="00143279"/>
    <w:rsid w:val="00143FC1"/>
    <w:rsid w:val="00145796"/>
    <w:rsid w:val="00146A8D"/>
    <w:rsid w:val="00151670"/>
    <w:rsid w:val="00154936"/>
    <w:rsid w:val="00156F7D"/>
    <w:rsid w:val="00160697"/>
    <w:rsid w:val="00164E14"/>
    <w:rsid w:val="0016722D"/>
    <w:rsid w:val="00167446"/>
    <w:rsid w:val="0017343C"/>
    <w:rsid w:val="00175A3B"/>
    <w:rsid w:val="00177B55"/>
    <w:rsid w:val="00181AAB"/>
    <w:rsid w:val="00182A14"/>
    <w:rsid w:val="00191E0E"/>
    <w:rsid w:val="001940A7"/>
    <w:rsid w:val="00196991"/>
    <w:rsid w:val="001A21CB"/>
    <w:rsid w:val="001A3D3B"/>
    <w:rsid w:val="001A42AF"/>
    <w:rsid w:val="001C45B0"/>
    <w:rsid w:val="001C465F"/>
    <w:rsid w:val="001C7509"/>
    <w:rsid w:val="001C7583"/>
    <w:rsid w:val="001D19D9"/>
    <w:rsid w:val="001D26CE"/>
    <w:rsid w:val="001D7181"/>
    <w:rsid w:val="001E4464"/>
    <w:rsid w:val="00204BE1"/>
    <w:rsid w:val="00207CFA"/>
    <w:rsid w:val="00211562"/>
    <w:rsid w:val="002178A3"/>
    <w:rsid w:val="00217DF9"/>
    <w:rsid w:val="00221EAC"/>
    <w:rsid w:val="00223FCB"/>
    <w:rsid w:val="00225940"/>
    <w:rsid w:val="0022706E"/>
    <w:rsid w:val="00227D9F"/>
    <w:rsid w:val="00230ACE"/>
    <w:rsid w:val="0023140F"/>
    <w:rsid w:val="0023336D"/>
    <w:rsid w:val="0023369C"/>
    <w:rsid w:val="00234C9C"/>
    <w:rsid w:val="00235766"/>
    <w:rsid w:val="00237AA4"/>
    <w:rsid w:val="00241158"/>
    <w:rsid w:val="0024243D"/>
    <w:rsid w:val="00245028"/>
    <w:rsid w:val="00253CA4"/>
    <w:rsid w:val="00257A32"/>
    <w:rsid w:val="0026076A"/>
    <w:rsid w:val="00266287"/>
    <w:rsid w:val="00266C84"/>
    <w:rsid w:val="00271538"/>
    <w:rsid w:val="00273BB7"/>
    <w:rsid w:val="0028353A"/>
    <w:rsid w:val="002844D2"/>
    <w:rsid w:val="002861DE"/>
    <w:rsid w:val="00292B7D"/>
    <w:rsid w:val="00292F5D"/>
    <w:rsid w:val="002961B2"/>
    <w:rsid w:val="0029753B"/>
    <w:rsid w:val="002A05FA"/>
    <w:rsid w:val="002A0B7F"/>
    <w:rsid w:val="002A2889"/>
    <w:rsid w:val="002A3E8C"/>
    <w:rsid w:val="002A5496"/>
    <w:rsid w:val="002A63B0"/>
    <w:rsid w:val="002A665A"/>
    <w:rsid w:val="002B7F16"/>
    <w:rsid w:val="002C03C0"/>
    <w:rsid w:val="002C1969"/>
    <w:rsid w:val="002D2D6B"/>
    <w:rsid w:val="002D69A3"/>
    <w:rsid w:val="002D6BE9"/>
    <w:rsid w:val="002E005A"/>
    <w:rsid w:val="002E010B"/>
    <w:rsid w:val="002E08B2"/>
    <w:rsid w:val="002E2BCB"/>
    <w:rsid w:val="002E4656"/>
    <w:rsid w:val="002E534D"/>
    <w:rsid w:val="002F09F5"/>
    <w:rsid w:val="002F70E7"/>
    <w:rsid w:val="00303834"/>
    <w:rsid w:val="0030407D"/>
    <w:rsid w:val="00310074"/>
    <w:rsid w:val="003143F4"/>
    <w:rsid w:val="003155A0"/>
    <w:rsid w:val="00315A19"/>
    <w:rsid w:val="003162FB"/>
    <w:rsid w:val="003215E0"/>
    <w:rsid w:val="003216F3"/>
    <w:rsid w:val="00325246"/>
    <w:rsid w:val="003277A4"/>
    <w:rsid w:val="00330E8C"/>
    <w:rsid w:val="0033329F"/>
    <w:rsid w:val="00334CCA"/>
    <w:rsid w:val="0033753D"/>
    <w:rsid w:val="00341074"/>
    <w:rsid w:val="003478C3"/>
    <w:rsid w:val="00356AA0"/>
    <w:rsid w:val="00357A53"/>
    <w:rsid w:val="003618B3"/>
    <w:rsid w:val="00371E4D"/>
    <w:rsid w:val="0037376E"/>
    <w:rsid w:val="00373900"/>
    <w:rsid w:val="00373E6E"/>
    <w:rsid w:val="0037400A"/>
    <w:rsid w:val="00376AF8"/>
    <w:rsid w:val="00383663"/>
    <w:rsid w:val="00384355"/>
    <w:rsid w:val="00386E8A"/>
    <w:rsid w:val="003934C0"/>
    <w:rsid w:val="003966D2"/>
    <w:rsid w:val="00397322"/>
    <w:rsid w:val="003A3CB4"/>
    <w:rsid w:val="003A43D5"/>
    <w:rsid w:val="003A71C4"/>
    <w:rsid w:val="003A7550"/>
    <w:rsid w:val="003B16E2"/>
    <w:rsid w:val="003C0539"/>
    <w:rsid w:val="003C05C4"/>
    <w:rsid w:val="003C10AA"/>
    <w:rsid w:val="003C22A1"/>
    <w:rsid w:val="003C666E"/>
    <w:rsid w:val="003C6BC4"/>
    <w:rsid w:val="003D014C"/>
    <w:rsid w:val="003D16A1"/>
    <w:rsid w:val="003D62E8"/>
    <w:rsid w:val="003E676F"/>
    <w:rsid w:val="003F2896"/>
    <w:rsid w:val="003F3624"/>
    <w:rsid w:val="003F3B8D"/>
    <w:rsid w:val="003F784B"/>
    <w:rsid w:val="004006C4"/>
    <w:rsid w:val="00402B5D"/>
    <w:rsid w:val="00405469"/>
    <w:rsid w:val="004057C0"/>
    <w:rsid w:val="00410389"/>
    <w:rsid w:val="00412585"/>
    <w:rsid w:val="00425910"/>
    <w:rsid w:val="0042666C"/>
    <w:rsid w:val="0043108F"/>
    <w:rsid w:val="004326FD"/>
    <w:rsid w:val="00432BDC"/>
    <w:rsid w:val="00434AE8"/>
    <w:rsid w:val="00435F97"/>
    <w:rsid w:val="00437714"/>
    <w:rsid w:val="0044057A"/>
    <w:rsid w:val="00440B91"/>
    <w:rsid w:val="0044303A"/>
    <w:rsid w:val="00443132"/>
    <w:rsid w:val="004573C1"/>
    <w:rsid w:val="004577D2"/>
    <w:rsid w:val="00460274"/>
    <w:rsid w:val="004603FC"/>
    <w:rsid w:val="00460EC8"/>
    <w:rsid w:val="00464446"/>
    <w:rsid w:val="00465687"/>
    <w:rsid w:val="0046685E"/>
    <w:rsid w:val="00467758"/>
    <w:rsid w:val="0047105B"/>
    <w:rsid w:val="0047216D"/>
    <w:rsid w:val="00477F11"/>
    <w:rsid w:val="0048017C"/>
    <w:rsid w:val="004808E0"/>
    <w:rsid w:val="00483280"/>
    <w:rsid w:val="00484962"/>
    <w:rsid w:val="00486166"/>
    <w:rsid w:val="004962F3"/>
    <w:rsid w:val="0049634E"/>
    <w:rsid w:val="00497B8B"/>
    <w:rsid w:val="004A1F34"/>
    <w:rsid w:val="004A5067"/>
    <w:rsid w:val="004B3394"/>
    <w:rsid w:val="004B6BD9"/>
    <w:rsid w:val="004C45F1"/>
    <w:rsid w:val="004D0B05"/>
    <w:rsid w:val="004D2E6E"/>
    <w:rsid w:val="004D3FE9"/>
    <w:rsid w:val="004D6085"/>
    <w:rsid w:val="004E2263"/>
    <w:rsid w:val="004E3730"/>
    <w:rsid w:val="004E6C38"/>
    <w:rsid w:val="004F3057"/>
    <w:rsid w:val="004F3C74"/>
    <w:rsid w:val="004F4EA2"/>
    <w:rsid w:val="004F4FBC"/>
    <w:rsid w:val="005047D8"/>
    <w:rsid w:val="00504DE9"/>
    <w:rsid w:val="00506CA5"/>
    <w:rsid w:val="00511086"/>
    <w:rsid w:val="005129D0"/>
    <w:rsid w:val="00512F31"/>
    <w:rsid w:val="00523920"/>
    <w:rsid w:val="00524A77"/>
    <w:rsid w:val="00533466"/>
    <w:rsid w:val="00537AC2"/>
    <w:rsid w:val="00540619"/>
    <w:rsid w:val="00542047"/>
    <w:rsid w:val="00544484"/>
    <w:rsid w:val="0054777B"/>
    <w:rsid w:val="00560F12"/>
    <w:rsid w:val="00561D5F"/>
    <w:rsid w:val="005652A8"/>
    <w:rsid w:val="005755AD"/>
    <w:rsid w:val="00580407"/>
    <w:rsid w:val="005822B4"/>
    <w:rsid w:val="0058541C"/>
    <w:rsid w:val="00587F4F"/>
    <w:rsid w:val="005905CC"/>
    <w:rsid w:val="005946DC"/>
    <w:rsid w:val="005A0ECD"/>
    <w:rsid w:val="005B06B0"/>
    <w:rsid w:val="005B0CCC"/>
    <w:rsid w:val="005B1155"/>
    <w:rsid w:val="005B49DF"/>
    <w:rsid w:val="005C46CB"/>
    <w:rsid w:val="005D3015"/>
    <w:rsid w:val="005D6936"/>
    <w:rsid w:val="005E19F0"/>
    <w:rsid w:val="005E2FD8"/>
    <w:rsid w:val="005E783C"/>
    <w:rsid w:val="005F22E0"/>
    <w:rsid w:val="005F6D31"/>
    <w:rsid w:val="005F6F8E"/>
    <w:rsid w:val="0060066A"/>
    <w:rsid w:val="006008C2"/>
    <w:rsid w:val="00601C1B"/>
    <w:rsid w:val="006039FE"/>
    <w:rsid w:val="006102BF"/>
    <w:rsid w:val="0061122E"/>
    <w:rsid w:val="00616D2E"/>
    <w:rsid w:val="00617203"/>
    <w:rsid w:val="0061791B"/>
    <w:rsid w:val="006222AB"/>
    <w:rsid w:val="00622B2A"/>
    <w:rsid w:val="00624382"/>
    <w:rsid w:val="006243E2"/>
    <w:rsid w:val="00626E3B"/>
    <w:rsid w:val="0063134D"/>
    <w:rsid w:val="00634229"/>
    <w:rsid w:val="00635B32"/>
    <w:rsid w:val="00636C79"/>
    <w:rsid w:val="006435F9"/>
    <w:rsid w:val="006440A4"/>
    <w:rsid w:val="006443A7"/>
    <w:rsid w:val="00647C74"/>
    <w:rsid w:val="00650AA1"/>
    <w:rsid w:val="006519E4"/>
    <w:rsid w:val="00654425"/>
    <w:rsid w:val="0065675C"/>
    <w:rsid w:val="00657055"/>
    <w:rsid w:val="006613B4"/>
    <w:rsid w:val="00662664"/>
    <w:rsid w:val="00662FA9"/>
    <w:rsid w:val="00666358"/>
    <w:rsid w:val="00671469"/>
    <w:rsid w:val="00671892"/>
    <w:rsid w:val="00674BEA"/>
    <w:rsid w:val="00680FE9"/>
    <w:rsid w:val="00682356"/>
    <w:rsid w:val="00684504"/>
    <w:rsid w:val="00686A28"/>
    <w:rsid w:val="006917DC"/>
    <w:rsid w:val="00691FD2"/>
    <w:rsid w:val="00694115"/>
    <w:rsid w:val="0069771A"/>
    <w:rsid w:val="006A2271"/>
    <w:rsid w:val="006A24C5"/>
    <w:rsid w:val="006A29C2"/>
    <w:rsid w:val="006A2C11"/>
    <w:rsid w:val="006A2DD4"/>
    <w:rsid w:val="006A4337"/>
    <w:rsid w:val="006B176D"/>
    <w:rsid w:val="006B202D"/>
    <w:rsid w:val="006B2F97"/>
    <w:rsid w:val="006B2FF1"/>
    <w:rsid w:val="006B506E"/>
    <w:rsid w:val="006B52E5"/>
    <w:rsid w:val="006C031D"/>
    <w:rsid w:val="006C0613"/>
    <w:rsid w:val="006D06CA"/>
    <w:rsid w:val="006D5AE8"/>
    <w:rsid w:val="006D67A1"/>
    <w:rsid w:val="006E10DB"/>
    <w:rsid w:val="006E7777"/>
    <w:rsid w:val="006F2FA3"/>
    <w:rsid w:val="006F539A"/>
    <w:rsid w:val="006F6162"/>
    <w:rsid w:val="00700628"/>
    <w:rsid w:val="0070498B"/>
    <w:rsid w:val="00705370"/>
    <w:rsid w:val="007070AF"/>
    <w:rsid w:val="007106E6"/>
    <w:rsid w:val="00713840"/>
    <w:rsid w:val="00714AE9"/>
    <w:rsid w:val="00717FFD"/>
    <w:rsid w:val="00720208"/>
    <w:rsid w:val="00720FAF"/>
    <w:rsid w:val="007301C4"/>
    <w:rsid w:val="007307C8"/>
    <w:rsid w:val="00732901"/>
    <w:rsid w:val="00733CD0"/>
    <w:rsid w:val="00736DD4"/>
    <w:rsid w:val="0074089A"/>
    <w:rsid w:val="00740BC2"/>
    <w:rsid w:val="00743D5D"/>
    <w:rsid w:val="007457B7"/>
    <w:rsid w:val="00747AD8"/>
    <w:rsid w:val="00750E0A"/>
    <w:rsid w:val="00757CEC"/>
    <w:rsid w:val="007616CF"/>
    <w:rsid w:val="00767022"/>
    <w:rsid w:val="007778F9"/>
    <w:rsid w:val="007806BD"/>
    <w:rsid w:val="007816D3"/>
    <w:rsid w:val="00783739"/>
    <w:rsid w:val="00784E6D"/>
    <w:rsid w:val="00786A27"/>
    <w:rsid w:val="00786BD5"/>
    <w:rsid w:val="00790C62"/>
    <w:rsid w:val="007A1F95"/>
    <w:rsid w:val="007A2E87"/>
    <w:rsid w:val="007A4895"/>
    <w:rsid w:val="007A5966"/>
    <w:rsid w:val="007A5A27"/>
    <w:rsid w:val="007A5E98"/>
    <w:rsid w:val="007A632D"/>
    <w:rsid w:val="007B3079"/>
    <w:rsid w:val="007B374B"/>
    <w:rsid w:val="007B5361"/>
    <w:rsid w:val="007C1B90"/>
    <w:rsid w:val="007C27C1"/>
    <w:rsid w:val="007C3249"/>
    <w:rsid w:val="007C7FDB"/>
    <w:rsid w:val="007D2E5E"/>
    <w:rsid w:val="007D348C"/>
    <w:rsid w:val="007D592D"/>
    <w:rsid w:val="007D6106"/>
    <w:rsid w:val="007E3E92"/>
    <w:rsid w:val="007E3F11"/>
    <w:rsid w:val="007F01D6"/>
    <w:rsid w:val="007F31F7"/>
    <w:rsid w:val="007F59AC"/>
    <w:rsid w:val="00810F14"/>
    <w:rsid w:val="00811186"/>
    <w:rsid w:val="008116C7"/>
    <w:rsid w:val="00813109"/>
    <w:rsid w:val="008137BD"/>
    <w:rsid w:val="0081451C"/>
    <w:rsid w:val="0082400F"/>
    <w:rsid w:val="008241B8"/>
    <w:rsid w:val="0082636F"/>
    <w:rsid w:val="00826A7E"/>
    <w:rsid w:val="00826D82"/>
    <w:rsid w:val="00832483"/>
    <w:rsid w:val="0083698A"/>
    <w:rsid w:val="00841FC8"/>
    <w:rsid w:val="00843645"/>
    <w:rsid w:val="00851251"/>
    <w:rsid w:val="00854E62"/>
    <w:rsid w:val="0085534D"/>
    <w:rsid w:val="00863E59"/>
    <w:rsid w:val="008651AC"/>
    <w:rsid w:val="00865F2A"/>
    <w:rsid w:val="00866030"/>
    <w:rsid w:val="00867FB2"/>
    <w:rsid w:val="00871C00"/>
    <w:rsid w:val="008743D7"/>
    <w:rsid w:val="00876126"/>
    <w:rsid w:val="008828B2"/>
    <w:rsid w:val="0088617E"/>
    <w:rsid w:val="00887988"/>
    <w:rsid w:val="00892760"/>
    <w:rsid w:val="008930A8"/>
    <w:rsid w:val="00896127"/>
    <w:rsid w:val="008965EA"/>
    <w:rsid w:val="008A112F"/>
    <w:rsid w:val="008B078D"/>
    <w:rsid w:val="008B5012"/>
    <w:rsid w:val="008B70A2"/>
    <w:rsid w:val="008B766E"/>
    <w:rsid w:val="008B7DE3"/>
    <w:rsid w:val="008C7CF4"/>
    <w:rsid w:val="008D2045"/>
    <w:rsid w:val="008D2A59"/>
    <w:rsid w:val="008D3CC8"/>
    <w:rsid w:val="008D6633"/>
    <w:rsid w:val="008E3DF7"/>
    <w:rsid w:val="008E4DF9"/>
    <w:rsid w:val="008E513F"/>
    <w:rsid w:val="008F458D"/>
    <w:rsid w:val="008F4665"/>
    <w:rsid w:val="0090469A"/>
    <w:rsid w:val="00905556"/>
    <w:rsid w:val="00910CE4"/>
    <w:rsid w:val="00911E14"/>
    <w:rsid w:val="00911F82"/>
    <w:rsid w:val="00912425"/>
    <w:rsid w:val="00912B55"/>
    <w:rsid w:val="00924D05"/>
    <w:rsid w:val="009347DA"/>
    <w:rsid w:val="00943E45"/>
    <w:rsid w:val="00947163"/>
    <w:rsid w:val="00952CE3"/>
    <w:rsid w:val="00957DF2"/>
    <w:rsid w:val="00957E7B"/>
    <w:rsid w:val="00963E4F"/>
    <w:rsid w:val="009661B6"/>
    <w:rsid w:val="00967030"/>
    <w:rsid w:val="00970E82"/>
    <w:rsid w:val="00971EEB"/>
    <w:rsid w:val="00972668"/>
    <w:rsid w:val="00972CAC"/>
    <w:rsid w:val="00990026"/>
    <w:rsid w:val="00991217"/>
    <w:rsid w:val="00991842"/>
    <w:rsid w:val="009925B2"/>
    <w:rsid w:val="00993AA3"/>
    <w:rsid w:val="009A1670"/>
    <w:rsid w:val="009A27A8"/>
    <w:rsid w:val="009A4247"/>
    <w:rsid w:val="009A4734"/>
    <w:rsid w:val="009A478D"/>
    <w:rsid w:val="009A4D66"/>
    <w:rsid w:val="009B336A"/>
    <w:rsid w:val="009B3500"/>
    <w:rsid w:val="009B468E"/>
    <w:rsid w:val="009B7468"/>
    <w:rsid w:val="009B7666"/>
    <w:rsid w:val="009C2517"/>
    <w:rsid w:val="009D12AF"/>
    <w:rsid w:val="009D375A"/>
    <w:rsid w:val="009D57D6"/>
    <w:rsid w:val="009E069A"/>
    <w:rsid w:val="009E2738"/>
    <w:rsid w:val="009E2B73"/>
    <w:rsid w:val="009E655F"/>
    <w:rsid w:val="009E6EE3"/>
    <w:rsid w:val="009F2D29"/>
    <w:rsid w:val="009F5632"/>
    <w:rsid w:val="00A00886"/>
    <w:rsid w:val="00A02FED"/>
    <w:rsid w:val="00A110CC"/>
    <w:rsid w:val="00A275BE"/>
    <w:rsid w:val="00A332B5"/>
    <w:rsid w:val="00A333BB"/>
    <w:rsid w:val="00A3494A"/>
    <w:rsid w:val="00A35725"/>
    <w:rsid w:val="00A43FB1"/>
    <w:rsid w:val="00A61F3B"/>
    <w:rsid w:val="00A6559C"/>
    <w:rsid w:val="00A72290"/>
    <w:rsid w:val="00A72ECE"/>
    <w:rsid w:val="00A72F15"/>
    <w:rsid w:val="00A737DF"/>
    <w:rsid w:val="00A74F0A"/>
    <w:rsid w:val="00A77ECA"/>
    <w:rsid w:val="00A8482E"/>
    <w:rsid w:val="00A901EE"/>
    <w:rsid w:val="00A905FF"/>
    <w:rsid w:val="00A92E33"/>
    <w:rsid w:val="00AA0DC0"/>
    <w:rsid w:val="00AA0DD2"/>
    <w:rsid w:val="00AA2F46"/>
    <w:rsid w:val="00AA3C0B"/>
    <w:rsid w:val="00AA7B26"/>
    <w:rsid w:val="00AB0BC1"/>
    <w:rsid w:val="00AB0CBA"/>
    <w:rsid w:val="00AC1F16"/>
    <w:rsid w:val="00AC4C82"/>
    <w:rsid w:val="00AC535B"/>
    <w:rsid w:val="00AD1B0C"/>
    <w:rsid w:val="00AE65E4"/>
    <w:rsid w:val="00AF2AEB"/>
    <w:rsid w:val="00B012B9"/>
    <w:rsid w:val="00B05C8B"/>
    <w:rsid w:val="00B07789"/>
    <w:rsid w:val="00B105A4"/>
    <w:rsid w:val="00B131C9"/>
    <w:rsid w:val="00B1534B"/>
    <w:rsid w:val="00B22627"/>
    <w:rsid w:val="00B230B0"/>
    <w:rsid w:val="00B236B9"/>
    <w:rsid w:val="00B44618"/>
    <w:rsid w:val="00B46B70"/>
    <w:rsid w:val="00B544C6"/>
    <w:rsid w:val="00B5745F"/>
    <w:rsid w:val="00B60E73"/>
    <w:rsid w:val="00B6135D"/>
    <w:rsid w:val="00B6522A"/>
    <w:rsid w:val="00B65B06"/>
    <w:rsid w:val="00B66407"/>
    <w:rsid w:val="00B70C44"/>
    <w:rsid w:val="00B72228"/>
    <w:rsid w:val="00B74695"/>
    <w:rsid w:val="00B847E6"/>
    <w:rsid w:val="00B84E38"/>
    <w:rsid w:val="00B85C37"/>
    <w:rsid w:val="00B87C74"/>
    <w:rsid w:val="00B96101"/>
    <w:rsid w:val="00B966D0"/>
    <w:rsid w:val="00B9785A"/>
    <w:rsid w:val="00BA0284"/>
    <w:rsid w:val="00BA1E89"/>
    <w:rsid w:val="00BA2802"/>
    <w:rsid w:val="00BA3F90"/>
    <w:rsid w:val="00BA65EC"/>
    <w:rsid w:val="00BB383E"/>
    <w:rsid w:val="00BB3869"/>
    <w:rsid w:val="00BB735C"/>
    <w:rsid w:val="00BC032E"/>
    <w:rsid w:val="00BC0E1A"/>
    <w:rsid w:val="00BC2422"/>
    <w:rsid w:val="00BC424E"/>
    <w:rsid w:val="00BD2ECB"/>
    <w:rsid w:val="00BD7088"/>
    <w:rsid w:val="00BD76F7"/>
    <w:rsid w:val="00BE2EB3"/>
    <w:rsid w:val="00BE6208"/>
    <w:rsid w:val="00BE6772"/>
    <w:rsid w:val="00BE776F"/>
    <w:rsid w:val="00BF000D"/>
    <w:rsid w:val="00BF053A"/>
    <w:rsid w:val="00BF7321"/>
    <w:rsid w:val="00BF7A7E"/>
    <w:rsid w:val="00C000E2"/>
    <w:rsid w:val="00C04679"/>
    <w:rsid w:val="00C04713"/>
    <w:rsid w:val="00C066B3"/>
    <w:rsid w:val="00C07E77"/>
    <w:rsid w:val="00C107F3"/>
    <w:rsid w:val="00C139A9"/>
    <w:rsid w:val="00C14C5F"/>
    <w:rsid w:val="00C15C87"/>
    <w:rsid w:val="00C16E01"/>
    <w:rsid w:val="00C318B4"/>
    <w:rsid w:val="00C32E91"/>
    <w:rsid w:val="00C36EBE"/>
    <w:rsid w:val="00C372C7"/>
    <w:rsid w:val="00C43E5A"/>
    <w:rsid w:val="00C50876"/>
    <w:rsid w:val="00C527A0"/>
    <w:rsid w:val="00C53D35"/>
    <w:rsid w:val="00C560F5"/>
    <w:rsid w:val="00C657F1"/>
    <w:rsid w:val="00C67DF3"/>
    <w:rsid w:val="00C70D86"/>
    <w:rsid w:val="00C8175C"/>
    <w:rsid w:val="00C84F11"/>
    <w:rsid w:val="00C851FC"/>
    <w:rsid w:val="00C92B75"/>
    <w:rsid w:val="00CB45F2"/>
    <w:rsid w:val="00CB6B50"/>
    <w:rsid w:val="00CC2828"/>
    <w:rsid w:val="00CC5401"/>
    <w:rsid w:val="00CC7DEC"/>
    <w:rsid w:val="00CC7FCE"/>
    <w:rsid w:val="00CD1B62"/>
    <w:rsid w:val="00CD685A"/>
    <w:rsid w:val="00CE030E"/>
    <w:rsid w:val="00CE0A8E"/>
    <w:rsid w:val="00CE2463"/>
    <w:rsid w:val="00CE4EE4"/>
    <w:rsid w:val="00CE513B"/>
    <w:rsid w:val="00CE7C18"/>
    <w:rsid w:val="00CF2B5B"/>
    <w:rsid w:val="00CF6CF7"/>
    <w:rsid w:val="00D01FCB"/>
    <w:rsid w:val="00D02EF8"/>
    <w:rsid w:val="00D035CD"/>
    <w:rsid w:val="00D046E8"/>
    <w:rsid w:val="00D11250"/>
    <w:rsid w:val="00D114EC"/>
    <w:rsid w:val="00D127D0"/>
    <w:rsid w:val="00D1392D"/>
    <w:rsid w:val="00D13A7F"/>
    <w:rsid w:val="00D14119"/>
    <w:rsid w:val="00D1413D"/>
    <w:rsid w:val="00D14743"/>
    <w:rsid w:val="00D17AE1"/>
    <w:rsid w:val="00D21760"/>
    <w:rsid w:val="00D24E18"/>
    <w:rsid w:val="00D31310"/>
    <w:rsid w:val="00D331B1"/>
    <w:rsid w:val="00D34DBF"/>
    <w:rsid w:val="00D37EB8"/>
    <w:rsid w:val="00D43911"/>
    <w:rsid w:val="00D47A70"/>
    <w:rsid w:val="00D542D4"/>
    <w:rsid w:val="00D55963"/>
    <w:rsid w:val="00D56136"/>
    <w:rsid w:val="00D56419"/>
    <w:rsid w:val="00D60C68"/>
    <w:rsid w:val="00D61103"/>
    <w:rsid w:val="00D616CF"/>
    <w:rsid w:val="00D61DC8"/>
    <w:rsid w:val="00D6225A"/>
    <w:rsid w:val="00D66FF8"/>
    <w:rsid w:val="00D73AC4"/>
    <w:rsid w:val="00D81455"/>
    <w:rsid w:val="00D827D0"/>
    <w:rsid w:val="00D873D9"/>
    <w:rsid w:val="00D916E7"/>
    <w:rsid w:val="00D91E84"/>
    <w:rsid w:val="00D921E0"/>
    <w:rsid w:val="00D92ABE"/>
    <w:rsid w:val="00D93073"/>
    <w:rsid w:val="00D94F04"/>
    <w:rsid w:val="00DA156C"/>
    <w:rsid w:val="00DA1ACB"/>
    <w:rsid w:val="00DA4C1B"/>
    <w:rsid w:val="00DA6249"/>
    <w:rsid w:val="00DB1832"/>
    <w:rsid w:val="00DB1F1D"/>
    <w:rsid w:val="00DB2008"/>
    <w:rsid w:val="00DB3B40"/>
    <w:rsid w:val="00DC441A"/>
    <w:rsid w:val="00DC5D95"/>
    <w:rsid w:val="00DC7893"/>
    <w:rsid w:val="00DC7BE2"/>
    <w:rsid w:val="00DD0DAD"/>
    <w:rsid w:val="00DD2199"/>
    <w:rsid w:val="00DD5954"/>
    <w:rsid w:val="00DD7265"/>
    <w:rsid w:val="00DD73D8"/>
    <w:rsid w:val="00DD781E"/>
    <w:rsid w:val="00DE02F8"/>
    <w:rsid w:val="00DE21E7"/>
    <w:rsid w:val="00DE3D51"/>
    <w:rsid w:val="00DE4EC1"/>
    <w:rsid w:val="00DF1132"/>
    <w:rsid w:val="00DF2791"/>
    <w:rsid w:val="00DF44F8"/>
    <w:rsid w:val="00E000CD"/>
    <w:rsid w:val="00E01AB9"/>
    <w:rsid w:val="00E02CCE"/>
    <w:rsid w:val="00E05C85"/>
    <w:rsid w:val="00E11676"/>
    <w:rsid w:val="00E16851"/>
    <w:rsid w:val="00E16B13"/>
    <w:rsid w:val="00E21935"/>
    <w:rsid w:val="00E26E68"/>
    <w:rsid w:val="00E32D3B"/>
    <w:rsid w:val="00E347BE"/>
    <w:rsid w:val="00E350F6"/>
    <w:rsid w:val="00E364C6"/>
    <w:rsid w:val="00E37079"/>
    <w:rsid w:val="00E40321"/>
    <w:rsid w:val="00E444BE"/>
    <w:rsid w:val="00E53936"/>
    <w:rsid w:val="00E5703C"/>
    <w:rsid w:val="00E57473"/>
    <w:rsid w:val="00E63559"/>
    <w:rsid w:val="00E67693"/>
    <w:rsid w:val="00E734A9"/>
    <w:rsid w:val="00E747AF"/>
    <w:rsid w:val="00E768B2"/>
    <w:rsid w:val="00E774F4"/>
    <w:rsid w:val="00E80289"/>
    <w:rsid w:val="00E936C3"/>
    <w:rsid w:val="00E94474"/>
    <w:rsid w:val="00EA3150"/>
    <w:rsid w:val="00EA3878"/>
    <w:rsid w:val="00EA3EAE"/>
    <w:rsid w:val="00EA42CA"/>
    <w:rsid w:val="00EA5AEF"/>
    <w:rsid w:val="00EA5F05"/>
    <w:rsid w:val="00EB2063"/>
    <w:rsid w:val="00EB206D"/>
    <w:rsid w:val="00EB5AD9"/>
    <w:rsid w:val="00EB6EF0"/>
    <w:rsid w:val="00EB73D6"/>
    <w:rsid w:val="00EC0054"/>
    <w:rsid w:val="00EC0B49"/>
    <w:rsid w:val="00EC0CBC"/>
    <w:rsid w:val="00ED03A8"/>
    <w:rsid w:val="00ED6504"/>
    <w:rsid w:val="00EE2204"/>
    <w:rsid w:val="00EE267B"/>
    <w:rsid w:val="00EE3A07"/>
    <w:rsid w:val="00EE4E78"/>
    <w:rsid w:val="00EF1040"/>
    <w:rsid w:val="00EF236E"/>
    <w:rsid w:val="00F00A6B"/>
    <w:rsid w:val="00F011DB"/>
    <w:rsid w:val="00F06BF5"/>
    <w:rsid w:val="00F13643"/>
    <w:rsid w:val="00F21B15"/>
    <w:rsid w:val="00F2249D"/>
    <w:rsid w:val="00F25429"/>
    <w:rsid w:val="00F25F04"/>
    <w:rsid w:val="00F30B34"/>
    <w:rsid w:val="00F3197E"/>
    <w:rsid w:val="00F33DF9"/>
    <w:rsid w:val="00F35B03"/>
    <w:rsid w:val="00F35F35"/>
    <w:rsid w:val="00F360C0"/>
    <w:rsid w:val="00F43398"/>
    <w:rsid w:val="00F4540B"/>
    <w:rsid w:val="00F46914"/>
    <w:rsid w:val="00F47663"/>
    <w:rsid w:val="00F51578"/>
    <w:rsid w:val="00F524C4"/>
    <w:rsid w:val="00F6070B"/>
    <w:rsid w:val="00F6256B"/>
    <w:rsid w:val="00F67A4A"/>
    <w:rsid w:val="00F76779"/>
    <w:rsid w:val="00F77E6D"/>
    <w:rsid w:val="00F8305D"/>
    <w:rsid w:val="00F833D3"/>
    <w:rsid w:val="00F92187"/>
    <w:rsid w:val="00F948D4"/>
    <w:rsid w:val="00F94C93"/>
    <w:rsid w:val="00FA645A"/>
    <w:rsid w:val="00FC0CC6"/>
    <w:rsid w:val="00FC331E"/>
    <w:rsid w:val="00FC3AE1"/>
    <w:rsid w:val="00FC41A4"/>
    <w:rsid w:val="00FC62DB"/>
    <w:rsid w:val="00FC6A4B"/>
    <w:rsid w:val="00FD0557"/>
    <w:rsid w:val="00FD11C5"/>
    <w:rsid w:val="00FD4627"/>
    <w:rsid w:val="00FD7A62"/>
    <w:rsid w:val="00FE2587"/>
    <w:rsid w:val="00FE3AFF"/>
    <w:rsid w:val="00FF00F8"/>
    <w:rsid w:val="00FF0881"/>
    <w:rsid w:val="00FF1877"/>
    <w:rsid w:val="00FF50E9"/>
    <w:rsid w:val="00FF644F"/>
    <w:rsid w:val="0226E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C82C6"/>
  <w15:chartTrackingRefBased/>
  <w15:docId w15:val="{7A31223F-1043-4E6D-BF2F-AE77D467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AF"/>
  </w:style>
  <w:style w:type="paragraph" w:styleId="Heading1">
    <w:name w:val="heading 1"/>
    <w:basedOn w:val="Normal"/>
    <w:next w:val="Normal"/>
    <w:link w:val="Heading1Char"/>
    <w:uiPriority w:val="9"/>
    <w:qFormat/>
    <w:rsid w:val="009F2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D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F2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9F2D29"/>
    <w:pPr>
      <w:ind w:left="720"/>
      <w:contextualSpacing/>
    </w:pPr>
  </w:style>
  <w:style w:type="table" w:styleId="TableGrid">
    <w:name w:val="Table Grid"/>
    <w:basedOn w:val="TableNormal"/>
    <w:uiPriority w:val="39"/>
    <w:rsid w:val="0091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2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4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4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6CB"/>
  </w:style>
  <w:style w:type="paragraph" w:styleId="Footer">
    <w:name w:val="footer"/>
    <w:basedOn w:val="Normal"/>
    <w:link w:val="FooterChar"/>
    <w:uiPriority w:val="99"/>
    <w:unhideWhenUsed/>
    <w:rsid w:val="005C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CB"/>
  </w:style>
  <w:style w:type="paragraph" w:customStyle="1" w:styleId="xmsonormal">
    <w:name w:val="x_msonormal"/>
    <w:basedOn w:val="Normal"/>
    <w:rsid w:val="00435F97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397322"/>
    <w:rPr>
      <w:color w:val="0000FF"/>
      <w:u w:val="single"/>
    </w:rPr>
  </w:style>
  <w:style w:type="paragraph" w:customStyle="1" w:styleId="Default">
    <w:name w:val="Default"/>
    <w:rsid w:val="000770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F458D"/>
    <w:pPr>
      <w:spacing w:after="0" w:line="240" w:lineRule="auto"/>
    </w:pPr>
    <w:rPr>
      <w:rFonts w:ascii="Calibri" w:eastAsia="Times New Roman" w:hAnsi="Calibri" w:cs="Times New Roman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F458D"/>
    <w:rPr>
      <w:rFonts w:ascii="Calibri" w:eastAsia="Times New Roman" w:hAnsi="Calibri" w:cs="Times New Roman"/>
      <w:sz w:val="24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A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F0881"/>
    <w:rPr>
      <w:b/>
      <w:bCs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DD7265"/>
  </w:style>
  <w:style w:type="character" w:customStyle="1" w:styleId="Heading2Char">
    <w:name w:val="Heading 2 Char"/>
    <w:basedOn w:val="DefaultParagraphFont"/>
    <w:link w:val="Heading2"/>
    <w:uiPriority w:val="9"/>
    <w:semiHidden/>
    <w:rsid w:val="00650A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19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59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3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34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82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30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6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2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Relationship Id="rId22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BC8C2C-AD4E-42E0-83FF-1CFF9CCAFE25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834C67A7-57E5-49B8-B291-58F2D9A44DCF}">
      <dgm:prSet phldrT="[Text]"/>
      <dgm:spPr/>
      <dgm:t>
        <a:bodyPr/>
        <a:lstStyle/>
        <a:p>
          <a:r>
            <a:rPr lang="en-GB" dirty="0"/>
            <a:t>SWL </a:t>
          </a:r>
        </a:p>
        <a:p>
          <a:r>
            <a:rPr lang="en-GB" dirty="0"/>
            <a:t>Health Equity Partnership Group</a:t>
          </a:r>
        </a:p>
      </dgm:t>
    </dgm:pt>
    <dgm:pt modelId="{4D767402-B6C1-4DAF-B07E-531F5BB96D06}" type="parTrans" cxnId="{18E85E9E-C61C-4018-8C70-8D5D22D1A4F1}">
      <dgm:prSet/>
      <dgm:spPr>
        <a:ln>
          <a:solidFill>
            <a:srgbClr val="92D050"/>
          </a:solidFill>
          <a:prstDash val="sysDash"/>
        </a:ln>
      </dgm:spPr>
      <dgm:t>
        <a:bodyPr/>
        <a:lstStyle/>
        <a:p>
          <a:endParaRPr lang="en-GB" b="1" cap="none" spc="0">
            <a:ln w="11112">
              <a:solidFill>
                <a:schemeClr val="accent2"/>
              </a:solidFill>
              <a:prstDash val="solid"/>
            </a:ln>
            <a:solidFill>
              <a:schemeClr val="accent2">
                <a:lumMod val="40000"/>
                <a:lumOff val="60000"/>
              </a:schemeClr>
            </a:solidFill>
            <a:effectLst/>
          </a:endParaRPr>
        </a:p>
      </dgm:t>
    </dgm:pt>
    <dgm:pt modelId="{2CABBD34-0B7C-4BF6-B7DB-041DA1AF64BB}" type="sibTrans" cxnId="{18E85E9E-C61C-4018-8C70-8D5D22D1A4F1}">
      <dgm:prSet/>
      <dgm:spPr/>
      <dgm:t>
        <a:bodyPr/>
        <a:lstStyle/>
        <a:p>
          <a:endParaRPr lang="en-GB"/>
        </a:p>
      </dgm:t>
    </dgm:pt>
    <dgm:pt modelId="{B2A8BE2E-92A3-49B3-8089-8203A723581D}">
      <dgm:prSet phldrT="[Text]"/>
      <dgm:spPr/>
      <dgm:t>
        <a:bodyPr/>
        <a:lstStyle/>
        <a:p>
          <a:r>
            <a:rPr lang="en-GB" dirty="0"/>
            <a:t>SWL Health Research Collaborative</a:t>
          </a:r>
        </a:p>
      </dgm:t>
    </dgm:pt>
    <dgm:pt modelId="{AAE6521E-4E3D-4FF5-8FDC-CF8A2FB63B3E}" type="parTrans" cxnId="{87C6F865-0D31-48A3-AB72-5CDAC897F187}">
      <dgm:prSet/>
      <dgm:spPr/>
      <dgm:t>
        <a:bodyPr/>
        <a:lstStyle/>
        <a:p>
          <a:endParaRPr lang="en-GB"/>
        </a:p>
      </dgm:t>
    </dgm:pt>
    <dgm:pt modelId="{2100BB82-F548-4362-AF2D-45F5190D9AA0}" type="sibTrans" cxnId="{87C6F865-0D31-48A3-AB72-5CDAC897F187}">
      <dgm:prSet/>
      <dgm:spPr/>
      <dgm:t>
        <a:bodyPr/>
        <a:lstStyle/>
        <a:p>
          <a:endParaRPr lang="en-GB"/>
        </a:p>
      </dgm:t>
    </dgm:pt>
    <dgm:pt modelId="{F254E282-12A0-404E-9660-DC25821CC8E7}">
      <dgm:prSet phldrT="[Text]"/>
      <dgm:spPr/>
      <dgm:t>
        <a:bodyPr/>
        <a:lstStyle/>
        <a:p>
          <a:r>
            <a:rPr lang="en-GB" dirty="0"/>
            <a:t>Health Inequalities Funding Delivery Group</a:t>
          </a:r>
        </a:p>
      </dgm:t>
    </dgm:pt>
    <dgm:pt modelId="{3BE900CE-9396-4C7F-BB6A-484DDE2012D0}" type="parTrans" cxnId="{68A1E471-9944-4EAA-9C8A-640A0DEA6663}">
      <dgm:prSet/>
      <dgm:spPr/>
      <dgm:t>
        <a:bodyPr/>
        <a:lstStyle/>
        <a:p>
          <a:endParaRPr lang="en-GB"/>
        </a:p>
      </dgm:t>
    </dgm:pt>
    <dgm:pt modelId="{5CD9BCAE-9A08-4807-8CDE-9F613EFD41EF}" type="sibTrans" cxnId="{68A1E471-9944-4EAA-9C8A-640A0DEA6663}">
      <dgm:prSet/>
      <dgm:spPr/>
      <dgm:t>
        <a:bodyPr/>
        <a:lstStyle/>
        <a:p>
          <a:endParaRPr lang="en-GB"/>
        </a:p>
      </dgm:t>
    </dgm:pt>
    <dgm:pt modelId="{5DB56604-A1FA-4D3E-A5BE-E2377E475AF4}">
      <dgm:prSet phldrT="[Text]"/>
      <dgm:spPr>
        <a:ln>
          <a:solidFill>
            <a:schemeClr val="accent6"/>
          </a:solidFill>
        </a:ln>
      </dgm:spPr>
      <dgm:t>
        <a:bodyPr/>
        <a:lstStyle/>
        <a:p>
          <a:r>
            <a:rPr lang="en-GB" dirty="0"/>
            <a:t>London Health Equity Group (Mayor's Health Board)</a:t>
          </a:r>
        </a:p>
      </dgm:t>
    </dgm:pt>
    <dgm:pt modelId="{198266AA-F009-435F-9065-C836C867F656}" type="parTrans" cxnId="{D2C1D0BB-8BCA-4323-B74B-E3AB9113A5C8}">
      <dgm:prSet/>
      <dgm:spPr/>
      <dgm:t>
        <a:bodyPr/>
        <a:lstStyle/>
        <a:p>
          <a:endParaRPr lang="en-GB"/>
        </a:p>
      </dgm:t>
    </dgm:pt>
    <dgm:pt modelId="{EB600198-AFF2-493E-9B40-403E27768004}" type="sibTrans" cxnId="{D2C1D0BB-8BCA-4323-B74B-E3AB9113A5C8}">
      <dgm:prSet/>
      <dgm:spPr/>
      <dgm:t>
        <a:bodyPr/>
        <a:lstStyle/>
        <a:p>
          <a:endParaRPr lang="en-GB"/>
        </a:p>
      </dgm:t>
    </dgm:pt>
    <dgm:pt modelId="{B41BDEA6-A015-4F13-B33E-5C580AF734BF}">
      <dgm:prSet phldrT="[Text]"/>
      <dgm:spPr/>
      <dgm:t>
        <a:bodyPr/>
        <a:lstStyle/>
        <a:p>
          <a:r>
            <a:rPr lang="en-GB" dirty="0"/>
            <a:t>ICP &amp; ICB Board</a:t>
          </a:r>
        </a:p>
      </dgm:t>
    </dgm:pt>
    <dgm:pt modelId="{6C3D5749-0E5E-454F-8CAB-2FEAAD463A8E}" type="sibTrans" cxnId="{A55CAF82-8AFF-418D-BBFF-FD2BC966E49E}">
      <dgm:prSet/>
      <dgm:spPr/>
      <dgm:t>
        <a:bodyPr/>
        <a:lstStyle/>
        <a:p>
          <a:endParaRPr lang="en-GB"/>
        </a:p>
      </dgm:t>
    </dgm:pt>
    <dgm:pt modelId="{CB647C38-9350-4140-B568-A587260BB4BA}" type="parTrans" cxnId="{A55CAF82-8AFF-418D-BBFF-FD2BC966E49E}">
      <dgm:prSet/>
      <dgm:spPr/>
      <dgm:t>
        <a:bodyPr/>
        <a:lstStyle/>
        <a:p>
          <a:endParaRPr lang="en-GB"/>
        </a:p>
      </dgm:t>
    </dgm:pt>
    <dgm:pt modelId="{C5F5C021-6D95-4E61-AA54-9A76D2E69A68}">
      <dgm:prSet phldrT="[Text]"/>
      <dgm:spPr/>
      <dgm:t>
        <a:bodyPr/>
        <a:lstStyle/>
        <a:p>
          <a:r>
            <a:rPr lang="en-GB" dirty="0"/>
            <a:t>Prevention Delivery Group</a:t>
          </a:r>
        </a:p>
      </dgm:t>
    </dgm:pt>
    <dgm:pt modelId="{BEDD8526-0BBB-4B4C-BCC3-C6BE7905F238}" type="sibTrans" cxnId="{020F41AE-0D30-4C39-A5B6-544BBB81376B}">
      <dgm:prSet/>
      <dgm:spPr/>
      <dgm:t>
        <a:bodyPr/>
        <a:lstStyle/>
        <a:p>
          <a:endParaRPr lang="en-GB"/>
        </a:p>
      </dgm:t>
    </dgm:pt>
    <dgm:pt modelId="{48E4AA6A-25C7-42EA-B373-D317105D7E23}" type="parTrans" cxnId="{020F41AE-0D30-4C39-A5B6-544BBB81376B}">
      <dgm:prSet/>
      <dgm:spPr/>
      <dgm:t>
        <a:bodyPr/>
        <a:lstStyle/>
        <a:p>
          <a:endParaRPr lang="en-GB"/>
        </a:p>
      </dgm:t>
    </dgm:pt>
    <dgm:pt modelId="{6220D684-AC13-47A9-A4F6-458DC95F7707}" type="pres">
      <dgm:prSet presAssocID="{8FBC8C2C-AD4E-42E0-83FF-1CFF9CCAFE2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96BED57-E092-4440-B8DA-2F5835BA4E7C}" type="pres">
      <dgm:prSet presAssocID="{B41BDEA6-A015-4F13-B33E-5C580AF734BF}" presName="hierRoot1" presStyleCnt="0"/>
      <dgm:spPr/>
    </dgm:pt>
    <dgm:pt modelId="{BB80CF83-0A1F-4BD1-A547-596497F09AD1}" type="pres">
      <dgm:prSet presAssocID="{B41BDEA6-A015-4F13-B33E-5C580AF734BF}" presName="composite" presStyleCnt="0"/>
      <dgm:spPr/>
    </dgm:pt>
    <dgm:pt modelId="{80F526C2-A047-4BBD-84C3-30260B604E56}" type="pres">
      <dgm:prSet presAssocID="{B41BDEA6-A015-4F13-B33E-5C580AF734BF}" presName="background" presStyleLbl="node0" presStyleIdx="0" presStyleCnt="2"/>
      <dgm:spPr/>
    </dgm:pt>
    <dgm:pt modelId="{B62DB72C-0AA3-46D7-9093-B96522F3B3D0}" type="pres">
      <dgm:prSet presAssocID="{B41BDEA6-A015-4F13-B33E-5C580AF734BF}" presName="text" presStyleLbl="fgAcc0" presStyleIdx="0" presStyleCnt="2" custLinFactX="9035" custLinFactNeighborX="100000" custLinFactNeighborY="-15396">
        <dgm:presLayoutVars>
          <dgm:chPref val="3"/>
        </dgm:presLayoutVars>
      </dgm:prSet>
      <dgm:spPr/>
    </dgm:pt>
    <dgm:pt modelId="{4911B436-9923-413B-AD1A-A76FCAE886D6}" type="pres">
      <dgm:prSet presAssocID="{B41BDEA6-A015-4F13-B33E-5C580AF734BF}" presName="hierChild2" presStyleCnt="0"/>
      <dgm:spPr/>
    </dgm:pt>
    <dgm:pt modelId="{EAF6E838-F9A8-4E83-A540-407D5AFB38EC}" type="pres">
      <dgm:prSet presAssocID="{5DB56604-A1FA-4D3E-A5BE-E2377E475AF4}" presName="hierRoot1" presStyleCnt="0"/>
      <dgm:spPr/>
    </dgm:pt>
    <dgm:pt modelId="{B8D91456-C717-4E1A-A235-C5981A31F59D}" type="pres">
      <dgm:prSet presAssocID="{5DB56604-A1FA-4D3E-A5BE-E2377E475AF4}" presName="composite" presStyleCnt="0"/>
      <dgm:spPr/>
    </dgm:pt>
    <dgm:pt modelId="{06D63118-811C-4417-A127-993180A95EEA}" type="pres">
      <dgm:prSet presAssocID="{5DB56604-A1FA-4D3E-A5BE-E2377E475AF4}" presName="background" presStyleLbl="node0" presStyleIdx="1" presStyleCnt="2"/>
      <dgm:spPr>
        <a:solidFill>
          <a:srgbClr val="92D050"/>
        </a:solidFill>
      </dgm:spPr>
    </dgm:pt>
    <dgm:pt modelId="{05CF0AC3-C1A4-4FC4-B3BC-C37FE01B46D7}" type="pres">
      <dgm:prSet presAssocID="{5DB56604-A1FA-4D3E-A5BE-E2377E475AF4}" presName="text" presStyleLbl="fgAcc0" presStyleIdx="1" presStyleCnt="2" custLinFactX="71338" custLinFactNeighborX="100000" custLinFactNeighborY="-1823">
        <dgm:presLayoutVars>
          <dgm:chPref val="3"/>
        </dgm:presLayoutVars>
      </dgm:prSet>
      <dgm:spPr/>
    </dgm:pt>
    <dgm:pt modelId="{DD83A1A0-06C2-4D21-8DD8-A73A3F768225}" type="pres">
      <dgm:prSet presAssocID="{5DB56604-A1FA-4D3E-A5BE-E2377E475AF4}" presName="hierChild2" presStyleCnt="0"/>
      <dgm:spPr/>
    </dgm:pt>
    <dgm:pt modelId="{EEF233FF-E0C7-427D-AC16-AE73774AC5A2}" type="pres">
      <dgm:prSet presAssocID="{4D767402-B6C1-4DAF-B07E-531F5BB96D06}" presName="Name10" presStyleLbl="parChTrans1D2" presStyleIdx="0" presStyleCnt="1"/>
      <dgm:spPr/>
    </dgm:pt>
    <dgm:pt modelId="{84500071-9008-4476-A7B4-58A676889FBA}" type="pres">
      <dgm:prSet presAssocID="{834C67A7-57E5-49B8-B291-58F2D9A44DCF}" presName="hierRoot2" presStyleCnt="0"/>
      <dgm:spPr/>
    </dgm:pt>
    <dgm:pt modelId="{469A1032-D63B-4117-884E-14BA760D8041}" type="pres">
      <dgm:prSet presAssocID="{834C67A7-57E5-49B8-B291-58F2D9A44DCF}" presName="composite2" presStyleCnt="0"/>
      <dgm:spPr/>
    </dgm:pt>
    <dgm:pt modelId="{CE3B8F5F-CF37-4439-98DF-481C3B331DC3}" type="pres">
      <dgm:prSet presAssocID="{834C67A7-57E5-49B8-B291-58F2D9A44DCF}" presName="background2" presStyleLbl="node2" presStyleIdx="0" presStyleCnt="1"/>
      <dgm:spPr/>
    </dgm:pt>
    <dgm:pt modelId="{F51618C7-534D-4787-BD78-3D7178366EF9}" type="pres">
      <dgm:prSet presAssocID="{834C67A7-57E5-49B8-B291-58F2D9A44DCF}" presName="text2" presStyleLbl="fgAcc2" presStyleIdx="0" presStyleCnt="1">
        <dgm:presLayoutVars>
          <dgm:chPref val="3"/>
        </dgm:presLayoutVars>
      </dgm:prSet>
      <dgm:spPr/>
    </dgm:pt>
    <dgm:pt modelId="{2E43D819-B46A-4EC7-9EC9-38FFBD667149}" type="pres">
      <dgm:prSet presAssocID="{834C67A7-57E5-49B8-B291-58F2D9A44DCF}" presName="hierChild3" presStyleCnt="0"/>
      <dgm:spPr/>
    </dgm:pt>
    <dgm:pt modelId="{6C23D888-4672-499F-AE43-9B8B78C7C51C}" type="pres">
      <dgm:prSet presAssocID="{3BE900CE-9396-4C7F-BB6A-484DDE2012D0}" presName="Name17" presStyleLbl="parChTrans1D3" presStyleIdx="0" presStyleCnt="3"/>
      <dgm:spPr/>
    </dgm:pt>
    <dgm:pt modelId="{31F3CB5D-27F1-4736-BE0B-C9185BD1B309}" type="pres">
      <dgm:prSet presAssocID="{F254E282-12A0-404E-9660-DC25821CC8E7}" presName="hierRoot3" presStyleCnt="0"/>
      <dgm:spPr/>
    </dgm:pt>
    <dgm:pt modelId="{0243B081-BFF5-4EAB-8823-D6DCDE95D949}" type="pres">
      <dgm:prSet presAssocID="{F254E282-12A0-404E-9660-DC25821CC8E7}" presName="composite3" presStyleCnt="0"/>
      <dgm:spPr/>
    </dgm:pt>
    <dgm:pt modelId="{3C396F1F-B180-4881-942D-CB877E3874E7}" type="pres">
      <dgm:prSet presAssocID="{F254E282-12A0-404E-9660-DC25821CC8E7}" presName="background3" presStyleLbl="node3" presStyleIdx="0" presStyleCnt="3"/>
      <dgm:spPr/>
    </dgm:pt>
    <dgm:pt modelId="{E7E6EBAD-67C5-4E2E-A65B-2B836B610146}" type="pres">
      <dgm:prSet presAssocID="{F254E282-12A0-404E-9660-DC25821CC8E7}" presName="text3" presStyleLbl="fgAcc3" presStyleIdx="0" presStyleCnt="3">
        <dgm:presLayoutVars>
          <dgm:chPref val="3"/>
        </dgm:presLayoutVars>
      </dgm:prSet>
      <dgm:spPr/>
    </dgm:pt>
    <dgm:pt modelId="{15777684-DC63-45D9-B15A-4E2B82C0D48B}" type="pres">
      <dgm:prSet presAssocID="{F254E282-12A0-404E-9660-DC25821CC8E7}" presName="hierChild4" presStyleCnt="0"/>
      <dgm:spPr/>
    </dgm:pt>
    <dgm:pt modelId="{0EB301F2-C515-45DB-A3D8-37FED534EA46}" type="pres">
      <dgm:prSet presAssocID="{48E4AA6A-25C7-42EA-B373-D317105D7E23}" presName="Name17" presStyleLbl="parChTrans1D3" presStyleIdx="1" presStyleCnt="3"/>
      <dgm:spPr/>
    </dgm:pt>
    <dgm:pt modelId="{CF032658-1E0F-48F4-85D0-EA28E210A004}" type="pres">
      <dgm:prSet presAssocID="{C5F5C021-6D95-4E61-AA54-9A76D2E69A68}" presName="hierRoot3" presStyleCnt="0"/>
      <dgm:spPr/>
    </dgm:pt>
    <dgm:pt modelId="{5D922CFC-12A3-498C-850B-0065729A73F8}" type="pres">
      <dgm:prSet presAssocID="{C5F5C021-6D95-4E61-AA54-9A76D2E69A68}" presName="composite3" presStyleCnt="0"/>
      <dgm:spPr/>
    </dgm:pt>
    <dgm:pt modelId="{8261AFEA-4939-430A-A27C-CF5FB900EA2C}" type="pres">
      <dgm:prSet presAssocID="{C5F5C021-6D95-4E61-AA54-9A76D2E69A68}" presName="background3" presStyleLbl="node3" presStyleIdx="1" presStyleCnt="3"/>
      <dgm:spPr/>
    </dgm:pt>
    <dgm:pt modelId="{98157B6A-1034-43C3-8648-BD619E6CEEE6}" type="pres">
      <dgm:prSet presAssocID="{C5F5C021-6D95-4E61-AA54-9A76D2E69A68}" presName="text3" presStyleLbl="fgAcc3" presStyleIdx="1" presStyleCnt="3">
        <dgm:presLayoutVars>
          <dgm:chPref val="3"/>
        </dgm:presLayoutVars>
      </dgm:prSet>
      <dgm:spPr/>
    </dgm:pt>
    <dgm:pt modelId="{80D8C43D-4BB4-467F-B580-B6A459C9AB83}" type="pres">
      <dgm:prSet presAssocID="{C5F5C021-6D95-4E61-AA54-9A76D2E69A68}" presName="hierChild4" presStyleCnt="0"/>
      <dgm:spPr/>
    </dgm:pt>
    <dgm:pt modelId="{FC694CB8-C22D-47CD-8259-09433786B1A5}" type="pres">
      <dgm:prSet presAssocID="{AAE6521E-4E3D-4FF5-8FDC-CF8A2FB63B3E}" presName="Name17" presStyleLbl="parChTrans1D3" presStyleIdx="2" presStyleCnt="3"/>
      <dgm:spPr/>
    </dgm:pt>
    <dgm:pt modelId="{84DA928A-0780-4C4C-B837-44F3ED98083A}" type="pres">
      <dgm:prSet presAssocID="{B2A8BE2E-92A3-49B3-8089-8203A723581D}" presName="hierRoot3" presStyleCnt="0"/>
      <dgm:spPr/>
    </dgm:pt>
    <dgm:pt modelId="{EDD7628F-C0A3-4A50-933C-0E4AF8FEF4E9}" type="pres">
      <dgm:prSet presAssocID="{B2A8BE2E-92A3-49B3-8089-8203A723581D}" presName="composite3" presStyleCnt="0"/>
      <dgm:spPr/>
    </dgm:pt>
    <dgm:pt modelId="{46FBEEDB-7906-4EB1-BB84-C0DCEEDDB0AA}" type="pres">
      <dgm:prSet presAssocID="{B2A8BE2E-92A3-49B3-8089-8203A723581D}" presName="background3" presStyleLbl="node3" presStyleIdx="2" presStyleCnt="3"/>
      <dgm:spPr/>
    </dgm:pt>
    <dgm:pt modelId="{EE253D57-518D-40BB-8566-C61DF208A1CA}" type="pres">
      <dgm:prSet presAssocID="{B2A8BE2E-92A3-49B3-8089-8203A723581D}" presName="text3" presStyleLbl="fgAcc3" presStyleIdx="2" presStyleCnt="3">
        <dgm:presLayoutVars>
          <dgm:chPref val="3"/>
        </dgm:presLayoutVars>
      </dgm:prSet>
      <dgm:spPr/>
    </dgm:pt>
    <dgm:pt modelId="{2074B008-5DD8-4317-8103-EF311D48D41F}" type="pres">
      <dgm:prSet presAssocID="{B2A8BE2E-92A3-49B3-8089-8203A723581D}" presName="hierChild4" presStyleCnt="0"/>
      <dgm:spPr/>
    </dgm:pt>
  </dgm:ptLst>
  <dgm:cxnLst>
    <dgm:cxn modelId="{154C721D-81C4-46E0-8597-0F6C50300308}" type="presOf" srcId="{48E4AA6A-25C7-42EA-B373-D317105D7E23}" destId="{0EB301F2-C515-45DB-A3D8-37FED534EA46}" srcOrd="0" destOrd="0" presId="urn:microsoft.com/office/officeart/2005/8/layout/hierarchy1"/>
    <dgm:cxn modelId="{87C6F865-0D31-48A3-AB72-5CDAC897F187}" srcId="{834C67A7-57E5-49B8-B291-58F2D9A44DCF}" destId="{B2A8BE2E-92A3-49B3-8089-8203A723581D}" srcOrd="2" destOrd="0" parTransId="{AAE6521E-4E3D-4FF5-8FDC-CF8A2FB63B3E}" sibTransId="{2100BB82-F548-4362-AF2D-45F5190D9AA0}"/>
    <dgm:cxn modelId="{7D06CA68-0A30-4705-910E-E96B1E00B39D}" type="presOf" srcId="{5DB56604-A1FA-4D3E-A5BE-E2377E475AF4}" destId="{05CF0AC3-C1A4-4FC4-B3BC-C37FE01B46D7}" srcOrd="0" destOrd="0" presId="urn:microsoft.com/office/officeart/2005/8/layout/hierarchy1"/>
    <dgm:cxn modelId="{68A1E471-9944-4EAA-9C8A-640A0DEA6663}" srcId="{834C67A7-57E5-49B8-B291-58F2D9A44DCF}" destId="{F254E282-12A0-404E-9660-DC25821CC8E7}" srcOrd="0" destOrd="0" parTransId="{3BE900CE-9396-4C7F-BB6A-484DDE2012D0}" sibTransId="{5CD9BCAE-9A08-4807-8CDE-9F613EFD41EF}"/>
    <dgm:cxn modelId="{203A027B-1372-4F7B-A075-6F916A49DC7D}" type="presOf" srcId="{834C67A7-57E5-49B8-B291-58F2D9A44DCF}" destId="{F51618C7-534D-4787-BD78-3D7178366EF9}" srcOrd="0" destOrd="0" presId="urn:microsoft.com/office/officeart/2005/8/layout/hierarchy1"/>
    <dgm:cxn modelId="{A55CAF82-8AFF-418D-BBFF-FD2BC966E49E}" srcId="{8FBC8C2C-AD4E-42E0-83FF-1CFF9CCAFE25}" destId="{B41BDEA6-A015-4F13-B33E-5C580AF734BF}" srcOrd="0" destOrd="0" parTransId="{CB647C38-9350-4140-B568-A587260BB4BA}" sibTransId="{6C3D5749-0E5E-454F-8CAB-2FEAAD463A8E}"/>
    <dgm:cxn modelId="{71C24E92-5267-49E2-9AE4-D0E4F3F1B5FB}" type="presOf" srcId="{B2A8BE2E-92A3-49B3-8089-8203A723581D}" destId="{EE253D57-518D-40BB-8566-C61DF208A1CA}" srcOrd="0" destOrd="0" presId="urn:microsoft.com/office/officeart/2005/8/layout/hierarchy1"/>
    <dgm:cxn modelId="{18E85E9E-C61C-4018-8C70-8D5D22D1A4F1}" srcId="{5DB56604-A1FA-4D3E-A5BE-E2377E475AF4}" destId="{834C67A7-57E5-49B8-B291-58F2D9A44DCF}" srcOrd="0" destOrd="0" parTransId="{4D767402-B6C1-4DAF-B07E-531F5BB96D06}" sibTransId="{2CABBD34-0B7C-4BF6-B7DB-041DA1AF64BB}"/>
    <dgm:cxn modelId="{C48A4E9F-9D39-48A9-96DA-8E4511DAF528}" type="presOf" srcId="{4D767402-B6C1-4DAF-B07E-531F5BB96D06}" destId="{EEF233FF-E0C7-427D-AC16-AE73774AC5A2}" srcOrd="0" destOrd="0" presId="urn:microsoft.com/office/officeart/2005/8/layout/hierarchy1"/>
    <dgm:cxn modelId="{7CD9CBA4-9B88-4957-89A3-AAAAD52D0246}" type="presOf" srcId="{B41BDEA6-A015-4F13-B33E-5C580AF734BF}" destId="{B62DB72C-0AA3-46D7-9093-B96522F3B3D0}" srcOrd="0" destOrd="0" presId="urn:microsoft.com/office/officeart/2005/8/layout/hierarchy1"/>
    <dgm:cxn modelId="{020F41AE-0D30-4C39-A5B6-544BBB81376B}" srcId="{834C67A7-57E5-49B8-B291-58F2D9A44DCF}" destId="{C5F5C021-6D95-4E61-AA54-9A76D2E69A68}" srcOrd="1" destOrd="0" parTransId="{48E4AA6A-25C7-42EA-B373-D317105D7E23}" sibTransId="{BEDD8526-0BBB-4B4C-BCC3-C6BE7905F238}"/>
    <dgm:cxn modelId="{D2C1D0BB-8BCA-4323-B74B-E3AB9113A5C8}" srcId="{8FBC8C2C-AD4E-42E0-83FF-1CFF9CCAFE25}" destId="{5DB56604-A1FA-4D3E-A5BE-E2377E475AF4}" srcOrd="1" destOrd="0" parTransId="{198266AA-F009-435F-9065-C836C867F656}" sibTransId="{EB600198-AFF2-493E-9B40-403E27768004}"/>
    <dgm:cxn modelId="{D74453BC-4043-4163-8369-A71136FF6E6C}" type="presOf" srcId="{AAE6521E-4E3D-4FF5-8FDC-CF8A2FB63B3E}" destId="{FC694CB8-C22D-47CD-8259-09433786B1A5}" srcOrd="0" destOrd="0" presId="urn:microsoft.com/office/officeart/2005/8/layout/hierarchy1"/>
    <dgm:cxn modelId="{167DDADA-BA2D-4B27-9C24-3BD5703A1B89}" type="presOf" srcId="{3BE900CE-9396-4C7F-BB6A-484DDE2012D0}" destId="{6C23D888-4672-499F-AE43-9B8B78C7C51C}" srcOrd="0" destOrd="0" presId="urn:microsoft.com/office/officeart/2005/8/layout/hierarchy1"/>
    <dgm:cxn modelId="{17E5F6F0-C0C8-48E9-9BF7-43E7997B697A}" type="presOf" srcId="{F254E282-12A0-404E-9660-DC25821CC8E7}" destId="{E7E6EBAD-67C5-4E2E-A65B-2B836B610146}" srcOrd="0" destOrd="0" presId="urn:microsoft.com/office/officeart/2005/8/layout/hierarchy1"/>
    <dgm:cxn modelId="{076C6DF2-9C02-4C00-B509-1B6C3B0F3E26}" type="presOf" srcId="{8FBC8C2C-AD4E-42E0-83FF-1CFF9CCAFE25}" destId="{6220D684-AC13-47A9-A4F6-458DC95F7707}" srcOrd="0" destOrd="0" presId="urn:microsoft.com/office/officeart/2005/8/layout/hierarchy1"/>
    <dgm:cxn modelId="{61BF73F7-D05A-490F-9D5E-E159ADF95BCF}" type="presOf" srcId="{C5F5C021-6D95-4E61-AA54-9A76D2E69A68}" destId="{98157B6A-1034-43C3-8648-BD619E6CEEE6}" srcOrd="0" destOrd="0" presId="urn:microsoft.com/office/officeart/2005/8/layout/hierarchy1"/>
    <dgm:cxn modelId="{66D0EFC5-517D-4FD0-9D87-EE6734625E90}" type="presParOf" srcId="{6220D684-AC13-47A9-A4F6-458DC95F7707}" destId="{396BED57-E092-4440-B8DA-2F5835BA4E7C}" srcOrd="0" destOrd="0" presId="urn:microsoft.com/office/officeart/2005/8/layout/hierarchy1"/>
    <dgm:cxn modelId="{B47FFBEB-3050-42B4-9271-7E4150ADFE81}" type="presParOf" srcId="{396BED57-E092-4440-B8DA-2F5835BA4E7C}" destId="{BB80CF83-0A1F-4BD1-A547-596497F09AD1}" srcOrd="0" destOrd="0" presId="urn:microsoft.com/office/officeart/2005/8/layout/hierarchy1"/>
    <dgm:cxn modelId="{22043090-6A03-47E8-9596-487AA485657C}" type="presParOf" srcId="{BB80CF83-0A1F-4BD1-A547-596497F09AD1}" destId="{80F526C2-A047-4BBD-84C3-30260B604E56}" srcOrd="0" destOrd="0" presId="urn:microsoft.com/office/officeart/2005/8/layout/hierarchy1"/>
    <dgm:cxn modelId="{C90B04BF-97FD-43B8-A404-789B01C2D067}" type="presParOf" srcId="{BB80CF83-0A1F-4BD1-A547-596497F09AD1}" destId="{B62DB72C-0AA3-46D7-9093-B96522F3B3D0}" srcOrd="1" destOrd="0" presId="urn:microsoft.com/office/officeart/2005/8/layout/hierarchy1"/>
    <dgm:cxn modelId="{42EA3B35-D5D2-44E2-85A2-A3E1619E43D8}" type="presParOf" srcId="{396BED57-E092-4440-B8DA-2F5835BA4E7C}" destId="{4911B436-9923-413B-AD1A-A76FCAE886D6}" srcOrd="1" destOrd="0" presId="urn:microsoft.com/office/officeart/2005/8/layout/hierarchy1"/>
    <dgm:cxn modelId="{BF79A977-588F-4D51-97FE-4032CE11810A}" type="presParOf" srcId="{6220D684-AC13-47A9-A4F6-458DC95F7707}" destId="{EAF6E838-F9A8-4E83-A540-407D5AFB38EC}" srcOrd="1" destOrd="0" presId="urn:microsoft.com/office/officeart/2005/8/layout/hierarchy1"/>
    <dgm:cxn modelId="{F73383E2-6A63-461B-9F17-9BD38B777053}" type="presParOf" srcId="{EAF6E838-F9A8-4E83-A540-407D5AFB38EC}" destId="{B8D91456-C717-4E1A-A235-C5981A31F59D}" srcOrd="0" destOrd="0" presId="urn:microsoft.com/office/officeart/2005/8/layout/hierarchy1"/>
    <dgm:cxn modelId="{12CE45E6-1C97-48F3-9F28-2E5AC788BC78}" type="presParOf" srcId="{B8D91456-C717-4E1A-A235-C5981A31F59D}" destId="{06D63118-811C-4417-A127-993180A95EEA}" srcOrd="0" destOrd="0" presId="urn:microsoft.com/office/officeart/2005/8/layout/hierarchy1"/>
    <dgm:cxn modelId="{8FC0D84E-B641-41E8-8216-6F00C67BAC84}" type="presParOf" srcId="{B8D91456-C717-4E1A-A235-C5981A31F59D}" destId="{05CF0AC3-C1A4-4FC4-B3BC-C37FE01B46D7}" srcOrd="1" destOrd="0" presId="urn:microsoft.com/office/officeart/2005/8/layout/hierarchy1"/>
    <dgm:cxn modelId="{12C8705E-D1BB-4EED-A82D-0B130A8BDA52}" type="presParOf" srcId="{EAF6E838-F9A8-4E83-A540-407D5AFB38EC}" destId="{DD83A1A0-06C2-4D21-8DD8-A73A3F768225}" srcOrd="1" destOrd="0" presId="urn:microsoft.com/office/officeart/2005/8/layout/hierarchy1"/>
    <dgm:cxn modelId="{AD1C0F27-84A0-4DED-9819-69B87AF88616}" type="presParOf" srcId="{DD83A1A0-06C2-4D21-8DD8-A73A3F768225}" destId="{EEF233FF-E0C7-427D-AC16-AE73774AC5A2}" srcOrd="0" destOrd="0" presId="urn:microsoft.com/office/officeart/2005/8/layout/hierarchy1"/>
    <dgm:cxn modelId="{580A97D0-24A4-4E5E-A347-0187D4D21C7D}" type="presParOf" srcId="{DD83A1A0-06C2-4D21-8DD8-A73A3F768225}" destId="{84500071-9008-4476-A7B4-58A676889FBA}" srcOrd="1" destOrd="0" presId="urn:microsoft.com/office/officeart/2005/8/layout/hierarchy1"/>
    <dgm:cxn modelId="{D1A2847F-2B58-4B59-B9DA-348EE87A5A85}" type="presParOf" srcId="{84500071-9008-4476-A7B4-58A676889FBA}" destId="{469A1032-D63B-4117-884E-14BA760D8041}" srcOrd="0" destOrd="0" presId="urn:microsoft.com/office/officeart/2005/8/layout/hierarchy1"/>
    <dgm:cxn modelId="{E305D8E5-3DC2-407B-B6B4-95605454199D}" type="presParOf" srcId="{469A1032-D63B-4117-884E-14BA760D8041}" destId="{CE3B8F5F-CF37-4439-98DF-481C3B331DC3}" srcOrd="0" destOrd="0" presId="urn:microsoft.com/office/officeart/2005/8/layout/hierarchy1"/>
    <dgm:cxn modelId="{B34D6E22-140D-44A7-9652-F5DEE35F6D34}" type="presParOf" srcId="{469A1032-D63B-4117-884E-14BA760D8041}" destId="{F51618C7-534D-4787-BD78-3D7178366EF9}" srcOrd="1" destOrd="0" presId="urn:microsoft.com/office/officeart/2005/8/layout/hierarchy1"/>
    <dgm:cxn modelId="{3F38BD2E-9F57-4F59-87C2-C72FE4D30C12}" type="presParOf" srcId="{84500071-9008-4476-A7B4-58A676889FBA}" destId="{2E43D819-B46A-4EC7-9EC9-38FFBD667149}" srcOrd="1" destOrd="0" presId="urn:microsoft.com/office/officeart/2005/8/layout/hierarchy1"/>
    <dgm:cxn modelId="{ECDBDB72-CD56-49CB-9DA0-FF0D1EC6E95F}" type="presParOf" srcId="{2E43D819-B46A-4EC7-9EC9-38FFBD667149}" destId="{6C23D888-4672-499F-AE43-9B8B78C7C51C}" srcOrd="0" destOrd="0" presId="urn:microsoft.com/office/officeart/2005/8/layout/hierarchy1"/>
    <dgm:cxn modelId="{1CBE91F2-6325-4BDC-999C-4D91526183F4}" type="presParOf" srcId="{2E43D819-B46A-4EC7-9EC9-38FFBD667149}" destId="{31F3CB5D-27F1-4736-BE0B-C9185BD1B309}" srcOrd="1" destOrd="0" presId="urn:microsoft.com/office/officeart/2005/8/layout/hierarchy1"/>
    <dgm:cxn modelId="{4217781C-F8EE-4CD2-821D-2D75D76FE130}" type="presParOf" srcId="{31F3CB5D-27F1-4736-BE0B-C9185BD1B309}" destId="{0243B081-BFF5-4EAB-8823-D6DCDE95D949}" srcOrd="0" destOrd="0" presId="urn:microsoft.com/office/officeart/2005/8/layout/hierarchy1"/>
    <dgm:cxn modelId="{17E875EF-1F2D-4EFD-A39C-87C7289C8DBC}" type="presParOf" srcId="{0243B081-BFF5-4EAB-8823-D6DCDE95D949}" destId="{3C396F1F-B180-4881-942D-CB877E3874E7}" srcOrd="0" destOrd="0" presId="urn:microsoft.com/office/officeart/2005/8/layout/hierarchy1"/>
    <dgm:cxn modelId="{370C29DC-E671-41E7-BFB2-C6B48473E300}" type="presParOf" srcId="{0243B081-BFF5-4EAB-8823-D6DCDE95D949}" destId="{E7E6EBAD-67C5-4E2E-A65B-2B836B610146}" srcOrd="1" destOrd="0" presId="urn:microsoft.com/office/officeart/2005/8/layout/hierarchy1"/>
    <dgm:cxn modelId="{53E0945E-67EA-40D5-B982-F70393A735A4}" type="presParOf" srcId="{31F3CB5D-27F1-4736-BE0B-C9185BD1B309}" destId="{15777684-DC63-45D9-B15A-4E2B82C0D48B}" srcOrd="1" destOrd="0" presId="urn:microsoft.com/office/officeart/2005/8/layout/hierarchy1"/>
    <dgm:cxn modelId="{EAEAEFC0-FD9F-400E-8D6A-DC954304F29F}" type="presParOf" srcId="{2E43D819-B46A-4EC7-9EC9-38FFBD667149}" destId="{0EB301F2-C515-45DB-A3D8-37FED534EA46}" srcOrd="2" destOrd="0" presId="urn:microsoft.com/office/officeart/2005/8/layout/hierarchy1"/>
    <dgm:cxn modelId="{6B7ABE09-F8E4-4809-94D4-45E39F2EB82C}" type="presParOf" srcId="{2E43D819-B46A-4EC7-9EC9-38FFBD667149}" destId="{CF032658-1E0F-48F4-85D0-EA28E210A004}" srcOrd="3" destOrd="0" presId="urn:microsoft.com/office/officeart/2005/8/layout/hierarchy1"/>
    <dgm:cxn modelId="{819BF433-014D-4824-8B88-0C3E0065113D}" type="presParOf" srcId="{CF032658-1E0F-48F4-85D0-EA28E210A004}" destId="{5D922CFC-12A3-498C-850B-0065729A73F8}" srcOrd="0" destOrd="0" presId="urn:microsoft.com/office/officeart/2005/8/layout/hierarchy1"/>
    <dgm:cxn modelId="{2935FC44-2B0B-461A-8AE0-B9952F144E8A}" type="presParOf" srcId="{5D922CFC-12A3-498C-850B-0065729A73F8}" destId="{8261AFEA-4939-430A-A27C-CF5FB900EA2C}" srcOrd="0" destOrd="0" presId="urn:microsoft.com/office/officeart/2005/8/layout/hierarchy1"/>
    <dgm:cxn modelId="{707540A9-022E-4DA8-BBC2-54AE01460260}" type="presParOf" srcId="{5D922CFC-12A3-498C-850B-0065729A73F8}" destId="{98157B6A-1034-43C3-8648-BD619E6CEEE6}" srcOrd="1" destOrd="0" presId="urn:microsoft.com/office/officeart/2005/8/layout/hierarchy1"/>
    <dgm:cxn modelId="{CA4E3769-EB15-4C24-A84C-01C985222CF1}" type="presParOf" srcId="{CF032658-1E0F-48F4-85D0-EA28E210A004}" destId="{80D8C43D-4BB4-467F-B580-B6A459C9AB83}" srcOrd="1" destOrd="0" presId="urn:microsoft.com/office/officeart/2005/8/layout/hierarchy1"/>
    <dgm:cxn modelId="{DE89BD0D-F023-4CAC-8FDC-791E04B0DBEA}" type="presParOf" srcId="{2E43D819-B46A-4EC7-9EC9-38FFBD667149}" destId="{FC694CB8-C22D-47CD-8259-09433786B1A5}" srcOrd="4" destOrd="0" presId="urn:microsoft.com/office/officeart/2005/8/layout/hierarchy1"/>
    <dgm:cxn modelId="{5B08674B-C17F-47FD-995C-3CC0D9E7BDCF}" type="presParOf" srcId="{2E43D819-B46A-4EC7-9EC9-38FFBD667149}" destId="{84DA928A-0780-4C4C-B837-44F3ED98083A}" srcOrd="5" destOrd="0" presId="urn:microsoft.com/office/officeart/2005/8/layout/hierarchy1"/>
    <dgm:cxn modelId="{62DCAE2E-2F40-4773-8386-5661E3BA5DE3}" type="presParOf" srcId="{84DA928A-0780-4C4C-B837-44F3ED98083A}" destId="{EDD7628F-C0A3-4A50-933C-0E4AF8FEF4E9}" srcOrd="0" destOrd="0" presId="urn:microsoft.com/office/officeart/2005/8/layout/hierarchy1"/>
    <dgm:cxn modelId="{F60C532E-1922-4B46-836F-F8E74D2B3577}" type="presParOf" srcId="{EDD7628F-C0A3-4A50-933C-0E4AF8FEF4E9}" destId="{46FBEEDB-7906-4EB1-BB84-C0DCEEDDB0AA}" srcOrd="0" destOrd="0" presId="urn:microsoft.com/office/officeart/2005/8/layout/hierarchy1"/>
    <dgm:cxn modelId="{75FB125C-DC6B-4889-91BE-1E0FBC6431AF}" type="presParOf" srcId="{EDD7628F-C0A3-4A50-933C-0E4AF8FEF4E9}" destId="{EE253D57-518D-40BB-8566-C61DF208A1CA}" srcOrd="1" destOrd="0" presId="urn:microsoft.com/office/officeart/2005/8/layout/hierarchy1"/>
    <dgm:cxn modelId="{026176B2-0BD7-4863-9818-33B2650274AB}" type="presParOf" srcId="{84DA928A-0780-4C4C-B837-44F3ED98083A}" destId="{2074B008-5DD8-4317-8103-EF311D48D41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694CB8-C22D-47CD-8259-09433786B1A5}">
      <dsp:nvSpPr>
        <dsp:cNvPr id="0" name=""/>
        <dsp:cNvSpPr/>
      </dsp:nvSpPr>
      <dsp:spPr>
        <a:xfrm>
          <a:off x="2898593" y="2057932"/>
          <a:ext cx="1610547" cy="38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164"/>
              </a:lnTo>
              <a:lnTo>
                <a:pt x="1610547" y="261164"/>
              </a:lnTo>
              <a:lnTo>
                <a:pt x="1610547" y="38323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B301F2-C515-45DB-A3D8-37FED534EA46}">
      <dsp:nvSpPr>
        <dsp:cNvPr id="0" name=""/>
        <dsp:cNvSpPr/>
      </dsp:nvSpPr>
      <dsp:spPr>
        <a:xfrm>
          <a:off x="2852873" y="2057932"/>
          <a:ext cx="91440" cy="3832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323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3D888-4672-499F-AE43-9B8B78C7C51C}">
      <dsp:nvSpPr>
        <dsp:cNvPr id="0" name=""/>
        <dsp:cNvSpPr/>
      </dsp:nvSpPr>
      <dsp:spPr>
        <a:xfrm>
          <a:off x="1288046" y="2057932"/>
          <a:ext cx="1610547" cy="383237"/>
        </a:xfrm>
        <a:custGeom>
          <a:avLst/>
          <a:gdLst/>
          <a:ahLst/>
          <a:cxnLst/>
          <a:rect l="0" t="0" r="0" b="0"/>
          <a:pathLst>
            <a:path>
              <a:moveTo>
                <a:pt x="1610547" y="0"/>
              </a:moveTo>
              <a:lnTo>
                <a:pt x="1610547" y="261164"/>
              </a:lnTo>
              <a:lnTo>
                <a:pt x="0" y="261164"/>
              </a:lnTo>
              <a:lnTo>
                <a:pt x="0" y="38323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F233FF-E0C7-427D-AC16-AE73774AC5A2}">
      <dsp:nvSpPr>
        <dsp:cNvPr id="0" name=""/>
        <dsp:cNvSpPr/>
      </dsp:nvSpPr>
      <dsp:spPr>
        <a:xfrm>
          <a:off x="2898593" y="822688"/>
          <a:ext cx="2239733" cy="398491"/>
        </a:xfrm>
        <a:custGeom>
          <a:avLst/>
          <a:gdLst/>
          <a:ahLst/>
          <a:cxnLst/>
          <a:rect l="0" t="0" r="0" b="0"/>
          <a:pathLst>
            <a:path>
              <a:moveTo>
                <a:pt x="2239733" y="0"/>
              </a:moveTo>
              <a:lnTo>
                <a:pt x="2239733" y="276418"/>
              </a:lnTo>
              <a:lnTo>
                <a:pt x="0" y="276418"/>
              </a:lnTo>
              <a:lnTo>
                <a:pt x="0" y="398491"/>
              </a:lnTo>
            </a:path>
          </a:pathLst>
        </a:custGeom>
        <a:noFill/>
        <a:ln w="12700" cap="flat" cmpd="sng" algn="ctr">
          <a:solidFill>
            <a:srgbClr val="92D05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F526C2-A047-4BBD-84C3-30260B604E56}">
      <dsp:nvSpPr>
        <dsp:cNvPr id="0" name=""/>
        <dsp:cNvSpPr/>
      </dsp:nvSpPr>
      <dsp:spPr>
        <a:xfrm>
          <a:off x="2065962" y="-127636"/>
          <a:ext cx="1317720" cy="8367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2DB72C-0AA3-46D7-9093-B96522F3B3D0}">
      <dsp:nvSpPr>
        <dsp:cNvPr id="0" name=""/>
        <dsp:cNvSpPr/>
      </dsp:nvSpPr>
      <dsp:spPr>
        <a:xfrm>
          <a:off x="2212375" y="11456"/>
          <a:ext cx="1317720" cy="8367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ICP &amp; ICB Board</a:t>
          </a:r>
        </a:p>
      </dsp:txBody>
      <dsp:txXfrm>
        <a:off x="2236883" y="35964"/>
        <a:ext cx="1268704" cy="787736"/>
      </dsp:txXfrm>
    </dsp:sp>
    <dsp:sp modelId="{06D63118-811C-4417-A127-993180A95EEA}">
      <dsp:nvSpPr>
        <dsp:cNvPr id="0" name=""/>
        <dsp:cNvSpPr/>
      </dsp:nvSpPr>
      <dsp:spPr>
        <a:xfrm>
          <a:off x="4479466" y="-14063"/>
          <a:ext cx="1317720" cy="836752"/>
        </a:xfrm>
        <a:prstGeom prst="roundRect">
          <a:avLst>
            <a:gd name="adj" fmla="val 10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CF0AC3-C1A4-4FC4-B3BC-C37FE01B46D7}">
      <dsp:nvSpPr>
        <dsp:cNvPr id="0" name=""/>
        <dsp:cNvSpPr/>
      </dsp:nvSpPr>
      <dsp:spPr>
        <a:xfrm>
          <a:off x="4625879" y="125029"/>
          <a:ext cx="1317720" cy="8367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London Health Equity Group (Mayor's Health Board)</a:t>
          </a:r>
        </a:p>
      </dsp:txBody>
      <dsp:txXfrm>
        <a:off x="4650387" y="149537"/>
        <a:ext cx="1268704" cy="787736"/>
      </dsp:txXfrm>
    </dsp:sp>
    <dsp:sp modelId="{CE3B8F5F-CF37-4439-98DF-481C3B331DC3}">
      <dsp:nvSpPr>
        <dsp:cNvPr id="0" name=""/>
        <dsp:cNvSpPr/>
      </dsp:nvSpPr>
      <dsp:spPr>
        <a:xfrm>
          <a:off x="2239733" y="1221179"/>
          <a:ext cx="1317720" cy="83675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1618C7-534D-4787-BD78-3D7178366EF9}">
      <dsp:nvSpPr>
        <dsp:cNvPr id="0" name=""/>
        <dsp:cNvSpPr/>
      </dsp:nvSpPr>
      <dsp:spPr>
        <a:xfrm>
          <a:off x="2386146" y="1360272"/>
          <a:ext cx="1317720" cy="8367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SWL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Health Equity Partnership Group</a:t>
          </a:r>
        </a:p>
      </dsp:txBody>
      <dsp:txXfrm>
        <a:off x="2410654" y="1384780"/>
        <a:ext cx="1268704" cy="787736"/>
      </dsp:txXfrm>
    </dsp:sp>
    <dsp:sp modelId="{3C396F1F-B180-4881-942D-CB877E3874E7}">
      <dsp:nvSpPr>
        <dsp:cNvPr id="0" name=""/>
        <dsp:cNvSpPr/>
      </dsp:nvSpPr>
      <dsp:spPr>
        <a:xfrm>
          <a:off x="629185" y="2441169"/>
          <a:ext cx="1317720" cy="8367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E6EBAD-67C5-4E2E-A65B-2B836B610146}">
      <dsp:nvSpPr>
        <dsp:cNvPr id="0" name=""/>
        <dsp:cNvSpPr/>
      </dsp:nvSpPr>
      <dsp:spPr>
        <a:xfrm>
          <a:off x="775599" y="2580262"/>
          <a:ext cx="1317720" cy="8367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Health Inequalities Funding Delivery Group</a:t>
          </a:r>
        </a:p>
      </dsp:txBody>
      <dsp:txXfrm>
        <a:off x="800107" y="2604770"/>
        <a:ext cx="1268704" cy="787736"/>
      </dsp:txXfrm>
    </dsp:sp>
    <dsp:sp modelId="{8261AFEA-4939-430A-A27C-CF5FB900EA2C}">
      <dsp:nvSpPr>
        <dsp:cNvPr id="0" name=""/>
        <dsp:cNvSpPr/>
      </dsp:nvSpPr>
      <dsp:spPr>
        <a:xfrm>
          <a:off x="2239733" y="2441169"/>
          <a:ext cx="1317720" cy="8367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157B6A-1034-43C3-8648-BD619E6CEEE6}">
      <dsp:nvSpPr>
        <dsp:cNvPr id="0" name=""/>
        <dsp:cNvSpPr/>
      </dsp:nvSpPr>
      <dsp:spPr>
        <a:xfrm>
          <a:off x="2386146" y="2580262"/>
          <a:ext cx="1317720" cy="8367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Prevention Delivery Group</a:t>
          </a:r>
        </a:p>
      </dsp:txBody>
      <dsp:txXfrm>
        <a:off x="2410654" y="2604770"/>
        <a:ext cx="1268704" cy="787736"/>
      </dsp:txXfrm>
    </dsp:sp>
    <dsp:sp modelId="{46FBEEDB-7906-4EB1-BB84-C0DCEEDDB0AA}">
      <dsp:nvSpPr>
        <dsp:cNvPr id="0" name=""/>
        <dsp:cNvSpPr/>
      </dsp:nvSpPr>
      <dsp:spPr>
        <a:xfrm>
          <a:off x="3850280" y="2441169"/>
          <a:ext cx="1317720" cy="8367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253D57-518D-40BB-8566-C61DF208A1CA}">
      <dsp:nvSpPr>
        <dsp:cNvPr id="0" name=""/>
        <dsp:cNvSpPr/>
      </dsp:nvSpPr>
      <dsp:spPr>
        <a:xfrm>
          <a:off x="3996693" y="2580262"/>
          <a:ext cx="1317720" cy="8367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SWL Health Research Collaborative</a:t>
          </a:r>
        </a:p>
      </dsp:txBody>
      <dsp:txXfrm>
        <a:off x="4021201" y="2604770"/>
        <a:ext cx="1268704" cy="7877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1c8a05-ef8c-4d12-a116-d3b5c016c9d9">
      <Terms xmlns="http://schemas.microsoft.com/office/infopath/2007/PartnerControls"/>
    </lcf76f155ced4ddcb4097134ff3c332f>
    <TaxCatchAll xmlns="72e71d6a-dace-44cc-9edf-ed41cdb3ba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7DB4AF249DA4A93166A0302B4ED20" ma:contentTypeVersion="16" ma:contentTypeDescription="Create a new document." ma:contentTypeScope="" ma:versionID="9c4590b58471793a2874104e25cc1769">
  <xsd:schema xmlns:xsd="http://www.w3.org/2001/XMLSchema" xmlns:xs="http://www.w3.org/2001/XMLSchema" xmlns:p="http://schemas.microsoft.com/office/2006/metadata/properties" xmlns:ns2="931c8a05-ef8c-4d12-a116-d3b5c016c9d9" xmlns:ns3="72e71d6a-dace-44cc-9edf-ed41cdb3bab6" targetNamespace="http://schemas.microsoft.com/office/2006/metadata/properties" ma:root="true" ma:fieldsID="551fca1a46486459655408f4b13aa7f9" ns2:_="" ns3:_="">
    <xsd:import namespace="931c8a05-ef8c-4d12-a116-d3b5c016c9d9"/>
    <xsd:import namespace="72e71d6a-dace-44cc-9edf-ed41cdb3b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8a05-ef8c-4d12-a116-d3b5c016c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1d6a-dace-44cc-9edf-ed41cdb3b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e8945-fec1-429e-8d58-1d2f39c7d296}" ma:internalName="TaxCatchAll" ma:showField="CatchAllData" ma:web="72e71d6a-dace-44cc-9edf-ed41cdb3b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1B3E1-8319-4911-B773-D1C34CF9F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2F173-5B75-44EA-82EB-1EF2D7AF6665}">
  <ds:schemaRefs>
    <ds:schemaRef ds:uri="http://schemas.microsoft.com/office/2006/metadata/properties"/>
    <ds:schemaRef ds:uri="http://schemas.microsoft.com/office/infopath/2007/PartnerControls"/>
    <ds:schemaRef ds:uri="931c8a05-ef8c-4d12-a116-d3b5c016c9d9"/>
    <ds:schemaRef ds:uri="72e71d6a-dace-44cc-9edf-ed41cdb3bab6"/>
  </ds:schemaRefs>
</ds:datastoreItem>
</file>

<file path=customXml/itemProps3.xml><?xml version="1.0" encoding="utf-8"?>
<ds:datastoreItem xmlns:ds="http://schemas.openxmlformats.org/officeDocument/2006/customXml" ds:itemID="{01351630-CADD-4DD1-A049-621CE460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c8a05-ef8c-4d12-a116-d3b5c016c9d9"/>
    <ds:schemaRef ds:uri="72e71d6a-dace-44cc-9edf-ed41cdb3b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1609</Words>
  <Characters>9173</Characters>
  <Application>Microsoft Office Word</Application>
  <DocSecurity>0</DocSecurity>
  <Lines>76</Lines>
  <Paragraphs>21</Paragraphs>
  <ScaleCrop>false</ScaleCrop>
  <Company>oneSource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Bloomer</dc:creator>
  <cp:keywords/>
  <dc:description/>
  <cp:lastModifiedBy>Catherine Heffernan (NHS South West London ICB)</cp:lastModifiedBy>
  <cp:revision>212</cp:revision>
  <dcterms:created xsi:type="dcterms:W3CDTF">2023-08-14T10:34:00Z</dcterms:created>
  <dcterms:modified xsi:type="dcterms:W3CDTF">2024-03-07T16:43:00Z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0x010100FBA7DB4AF249DA4A93166A0302B4ED20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2,3,5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</Properties>
</file>