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C4F9A" w14:textId="77777777" w:rsidR="007263F0" w:rsidRDefault="00BC7C95" w:rsidP="00BC7C95">
      <w:pPr>
        <w:pStyle w:val="Heading2"/>
        <w:numPr>
          <w:ilvl w:val="0"/>
          <w:numId w:val="0"/>
        </w:numPr>
        <w:jc w:val="center"/>
      </w:pPr>
      <w:bookmarkStart w:id="0" w:name="_Toc85208050"/>
      <w:r>
        <w:rPr>
          <w:noProof/>
        </w:rPr>
        <w:drawing>
          <wp:inline distT="0" distB="0" distL="0" distR="0" wp14:anchorId="3259F980" wp14:editId="40C5832F">
            <wp:extent cx="2114550" cy="809625"/>
            <wp:effectExtent l="0" t="0" r="0" b="9525"/>
            <wp:docPr id="1" name="Picture 1" descr="C:\Users\CVA-Staff\AppData\Local\Microsoft\Windows\INetCache\Content.MSO\F26FD8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A-Staff\AppData\Local\Microsoft\Windows\INetCache\Content.MSO\F26FD85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6A42A" w14:textId="77777777" w:rsidR="007263F0" w:rsidRPr="009460B4" w:rsidRDefault="007263F0" w:rsidP="009460B4">
      <w:pPr>
        <w:pStyle w:val="Heading2"/>
        <w:numPr>
          <w:ilvl w:val="0"/>
          <w:numId w:val="0"/>
        </w:numPr>
        <w:spacing w:before="0"/>
        <w:jc w:val="center"/>
        <w:rPr>
          <w:b/>
        </w:rPr>
      </w:pPr>
    </w:p>
    <w:p w14:paraId="0D9481E1" w14:textId="77777777" w:rsidR="007263F0" w:rsidRPr="009460B4" w:rsidRDefault="009460B4" w:rsidP="009460B4">
      <w:pPr>
        <w:pStyle w:val="Heading2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460B4">
        <w:rPr>
          <w:rFonts w:asciiTheme="minorHAnsi" w:hAnsiTheme="minorHAnsi" w:cstheme="minorHAnsi"/>
          <w:b/>
          <w:color w:val="auto"/>
          <w:sz w:val="28"/>
          <w:szCs w:val="28"/>
        </w:rPr>
        <w:t xml:space="preserve">Croydon’s </w:t>
      </w:r>
      <w:r w:rsidR="007263F0" w:rsidRPr="009460B4">
        <w:rPr>
          <w:rFonts w:asciiTheme="minorHAnsi" w:hAnsiTheme="minorHAnsi" w:cstheme="minorHAnsi"/>
          <w:b/>
          <w:color w:val="auto"/>
          <w:sz w:val="28"/>
          <w:szCs w:val="28"/>
        </w:rPr>
        <w:t>Community Hubs</w:t>
      </w:r>
      <w:bookmarkEnd w:id="0"/>
    </w:p>
    <w:p w14:paraId="15474512" w14:textId="77777777" w:rsidR="002A3C39" w:rsidRPr="009460B4" w:rsidRDefault="00677AD0" w:rsidP="009460B4">
      <w:pPr>
        <w:spacing w:after="0"/>
        <w:jc w:val="center"/>
        <w:rPr>
          <w:rFonts w:cstheme="minorHAnsi"/>
          <w:b/>
          <w:sz w:val="28"/>
          <w:szCs w:val="28"/>
        </w:rPr>
      </w:pPr>
      <w:r w:rsidRPr="009460B4">
        <w:rPr>
          <w:rFonts w:cstheme="minorHAnsi"/>
          <w:b/>
          <w:sz w:val="28"/>
          <w:szCs w:val="28"/>
        </w:rPr>
        <w:t>Pathways</w:t>
      </w:r>
      <w:r w:rsidR="002A3C39" w:rsidRPr="009460B4">
        <w:rPr>
          <w:rFonts w:cstheme="minorHAnsi"/>
          <w:b/>
          <w:sz w:val="28"/>
          <w:szCs w:val="28"/>
        </w:rPr>
        <w:t xml:space="preserve"> Towards </w:t>
      </w:r>
      <w:r w:rsidRPr="009460B4">
        <w:rPr>
          <w:rFonts w:cstheme="minorHAnsi"/>
          <w:b/>
          <w:sz w:val="28"/>
          <w:szCs w:val="28"/>
        </w:rPr>
        <w:t xml:space="preserve">Social Support and </w:t>
      </w:r>
      <w:r w:rsidR="002A3C39" w:rsidRPr="009460B4">
        <w:rPr>
          <w:rFonts w:cstheme="minorHAnsi"/>
          <w:b/>
          <w:sz w:val="28"/>
          <w:szCs w:val="28"/>
        </w:rPr>
        <w:t>Independence</w:t>
      </w:r>
    </w:p>
    <w:p w14:paraId="6A317D15" w14:textId="77777777" w:rsidR="00BC7C95" w:rsidRDefault="00BC7C95" w:rsidP="009460B4">
      <w:pPr>
        <w:spacing w:after="0"/>
      </w:pPr>
    </w:p>
    <w:p w14:paraId="07987BA7" w14:textId="77777777" w:rsidR="00EB1E7E" w:rsidRDefault="00EB1E7E" w:rsidP="009460B4">
      <w:pPr>
        <w:spacing w:after="0"/>
      </w:pPr>
    </w:p>
    <w:p w14:paraId="7FCC7428" w14:textId="77777777" w:rsidR="009F173E" w:rsidRPr="00EB1E7E" w:rsidRDefault="00175A08" w:rsidP="009460B4">
      <w:pPr>
        <w:spacing w:after="0"/>
        <w:rPr>
          <w:b/>
          <w:sz w:val="24"/>
          <w:szCs w:val="24"/>
        </w:rPr>
      </w:pPr>
      <w:r w:rsidRPr="00EB1E7E">
        <w:rPr>
          <w:b/>
          <w:sz w:val="24"/>
          <w:szCs w:val="24"/>
        </w:rPr>
        <w:t>1. Community Hubs in a nutshell</w:t>
      </w:r>
    </w:p>
    <w:p w14:paraId="61910F1A" w14:textId="77777777" w:rsidR="007263F0" w:rsidRDefault="007263F0" w:rsidP="009460B4">
      <w:pPr>
        <w:spacing w:after="0"/>
      </w:pPr>
    </w:p>
    <w:p w14:paraId="14FD39EE" w14:textId="5985EDA9" w:rsidR="007263F0" w:rsidRDefault="007263F0" w:rsidP="00EB1E7E">
      <w:pPr>
        <w:pStyle w:val="ListParagraph"/>
        <w:numPr>
          <w:ilvl w:val="0"/>
          <w:numId w:val="5"/>
        </w:numPr>
        <w:spacing w:after="0"/>
      </w:pPr>
      <w:r>
        <w:t>Community Hubs</w:t>
      </w:r>
      <w:r w:rsidRPr="00FA2AA9">
        <w:t xml:space="preserve"> provide pathways for people into social support networks, community-led activities and specialist voluntary </w:t>
      </w:r>
      <w:r w:rsidR="00171A92">
        <w:t xml:space="preserve">(VCS) </w:t>
      </w:r>
      <w:r w:rsidRPr="00FA2AA9">
        <w:t xml:space="preserve">and statutory </w:t>
      </w:r>
      <w:r w:rsidR="00BB0B39">
        <w:t xml:space="preserve">sector </w:t>
      </w:r>
      <w:r w:rsidRPr="00FA2AA9">
        <w:t>services</w:t>
      </w:r>
    </w:p>
    <w:p w14:paraId="51A41F00" w14:textId="77777777" w:rsidR="00BC7C95" w:rsidRDefault="00BC7C95" w:rsidP="009460B4">
      <w:pPr>
        <w:spacing w:after="0"/>
      </w:pPr>
    </w:p>
    <w:p w14:paraId="20461E0A" w14:textId="40C08888" w:rsidR="00681724" w:rsidRDefault="00681724" w:rsidP="00EB1E7E">
      <w:pPr>
        <w:pStyle w:val="ListParagraph"/>
        <w:numPr>
          <w:ilvl w:val="0"/>
          <w:numId w:val="5"/>
        </w:numPr>
        <w:spacing w:after="0"/>
      </w:pPr>
      <w:r>
        <w:t>Community Hubs are resident focused and community</w:t>
      </w:r>
      <w:r w:rsidR="00171A92">
        <w:t>-</w:t>
      </w:r>
      <w:r>
        <w:t xml:space="preserve">led, with specialist VCS and statutory services supplementing the work </w:t>
      </w:r>
    </w:p>
    <w:p w14:paraId="3CFB33B5" w14:textId="77777777" w:rsidR="007263F0" w:rsidRDefault="007263F0" w:rsidP="009460B4">
      <w:pPr>
        <w:spacing w:after="0"/>
      </w:pPr>
    </w:p>
    <w:p w14:paraId="0BFB8AF0" w14:textId="13DF3490" w:rsidR="00681724" w:rsidRDefault="007263F0" w:rsidP="00EB1E7E">
      <w:pPr>
        <w:pStyle w:val="ListParagraph"/>
        <w:numPr>
          <w:ilvl w:val="0"/>
          <w:numId w:val="5"/>
        </w:numPr>
        <w:spacing w:after="0"/>
      </w:pPr>
      <w:r w:rsidRPr="00C57DE1">
        <w:t>Conversations held with residents at Community Hubs will be strengths-based and outcome</w:t>
      </w:r>
      <w:r w:rsidR="00171A92">
        <w:t>s</w:t>
      </w:r>
      <w:r w:rsidRPr="00C57DE1">
        <w:t>-focused with clear action plans being developed to achieve identified outcomes</w:t>
      </w:r>
    </w:p>
    <w:p w14:paraId="4C0DC70B" w14:textId="77777777" w:rsidR="009460B4" w:rsidRDefault="009460B4" w:rsidP="009460B4">
      <w:pPr>
        <w:spacing w:after="0"/>
      </w:pPr>
    </w:p>
    <w:p w14:paraId="4799D121" w14:textId="77777777" w:rsidR="00175A08" w:rsidRPr="00EB1E7E" w:rsidRDefault="00175A08" w:rsidP="009460B4">
      <w:pPr>
        <w:spacing w:after="0"/>
        <w:rPr>
          <w:b/>
          <w:sz w:val="24"/>
          <w:szCs w:val="24"/>
        </w:rPr>
      </w:pPr>
      <w:r w:rsidRPr="00EB1E7E">
        <w:rPr>
          <w:b/>
          <w:sz w:val="24"/>
          <w:szCs w:val="24"/>
        </w:rPr>
        <w:t>2. How are Community Hubs different</w:t>
      </w:r>
      <w:r w:rsidR="000E01B2">
        <w:rPr>
          <w:b/>
          <w:sz w:val="24"/>
          <w:szCs w:val="24"/>
        </w:rPr>
        <w:t>?</w:t>
      </w:r>
    </w:p>
    <w:p w14:paraId="72F8BA8C" w14:textId="77777777" w:rsidR="00175A08" w:rsidRDefault="00175A08" w:rsidP="009460B4">
      <w:pPr>
        <w:spacing w:after="0"/>
      </w:pPr>
    </w:p>
    <w:p w14:paraId="4B198BB6" w14:textId="038DBEE2" w:rsidR="007263F0" w:rsidRDefault="007263F0" w:rsidP="00EB1E7E">
      <w:pPr>
        <w:pStyle w:val="ListParagraph"/>
        <w:numPr>
          <w:ilvl w:val="0"/>
          <w:numId w:val="6"/>
        </w:numPr>
        <w:spacing w:after="0"/>
      </w:pPr>
      <w:r>
        <w:t xml:space="preserve">One of the challenges </w:t>
      </w:r>
      <w:r w:rsidR="00D37CB3">
        <w:t xml:space="preserve">for Community Hubs is </w:t>
      </w:r>
      <w:r>
        <w:t>in demonstrating how the</w:t>
      </w:r>
      <w:r w:rsidR="00D37CB3">
        <w:t>y</w:t>
      </w:r>
      <w:r>
        <w:t xml:space="preserve"> reduce demand to statutory services and not create more ‘front-doors’</w:t>
      </w:r>
    </w:p>
    <w:p w14:paraId="2E11B2E3" w14:textId="77777777" w:rsidR="002D7A23" w:rsidRDefault="002D7A23" w:rsidP="009460B4">
      <w:pPr>
        <w:spacing w:after="0"/>
      </w:pPr>
    </w:p>
    <w:p w14:paraId="78088C46" w14:textId="6B785CD1" w:rsidR="002D7A23" w:rsidRPr="00EB1E7E" w:rsidRDefault="002D7A23" w:rsidP="00EB1E7E">
      <w:pPr>
        <w:pStyle w:val="ListParagraph"/>
        <w:numPr>
          <w:ilvl w:val="0"/>
          <w:numId w:val="6"/>
        </w:numPr>
        <w:spacing w:after="0"/>
        <w:rPr>
          <w:color w:val="000000" w:themeColor="text1"/>
        </w:rPr>
      </w:pPr>
      <w:r w:rsidRPr="00EB1E7E">
        <w:rPr>
          <w:color w:val="000000" w:themeColor="text1"/>
        </w:rPr>
        <w:t>To deliver transformational health and care</w:t>
      </w:r>
      <w:r w:rsidR="00D37CB3">
        <w:rPr>
          <w:color w:val="000000" w:themeColor="text1"/>
        </w:rPr>
        <w:t xml:space="preserve"> </w:t>
      </w:r>
      <w:r w:rsidRPr="00EB1E7E">
        <w:rPr>
          <w:color w:val="000000" w:themeColor="text1"/>
        </w:rPr>
        <w:t>work we are seeking to break service dependency and reduce demand on statutory services by providing community alternatives</w:t>
      </w:r>
    </w:p>
    <w:p w14:paraId="7AFA4326" w14:textId="77777777" w:rsidR="002D7A23" w:rsidRDefault="002D7A23" w:rsidP="002D7A23">
      <w:pPr>
        <w:spacing w:after="0"/>
        <w:rPr>
          <w:color w:val="000000" w:themeColor="text1"/>
        </w:rPr>
      </w:pPr>
    </w:p>
    <w:p w14:paraId="6DEF1465" w14:textId="6DD8A9CC" w:rsidR="002D7A23" w:rsidRDefault="002D7A23" w:rsidP="00EB1E7E">
      <w:pPr>
        <w:pStyle w:val="ListParagraph"/>
        <w:numPr>
          <w:ilvl w:val="0"/>
          <w:numId w:val="6"/>
        </w:numPr>
        <w:spacing w:after="0"/>
      </w:pPr>
      <w:r w:rsidRPr="00EB1E7E">
        <w:rPr>
          <w:color w:val="000000" w:themeColor="text1"/>
        </w:rPr>
        <w:t xml:space="preserve">We </w:t>
      </w:r>
      <w:r w:rsidR="00D37CB3">
        <w:rPr>
          <w:color w:val="000000" w:themeColor="text1"/>
        </w:rPr>
        <w:t>are</w:t>
      </w:r>
      <w:r w:rsidRPr="00EB1E7E">
        <w:rPr>
          <w:color w:val="000000" w:themeColor="text1"/>
        </w:rPr>
        <w:t xml:space="preserve"> not seek</w:t>
      </w:r>
      <w:r w:rsidR="00D37CB3">
        <w:rPr>
          <w:color w:val="000000" w:themeColor="text1"/>
        </w:rPr>
        <w:t>ing</w:t>
      </w:r>
      <w:r w:rsidRPr="00EB1E7E">
        <w:rPr>
          <w:color w:val="000000" w:themeColor="text1"/>
        </w:rPr>
        <w:t xml:space="preserve"> to break service dependency by creating substitute service</w:t>
      </w:r>
      <w:r w:rsidR="00D37CB3">
        <w:rPr>
          <w:color w:val="000000" w:themeColor="text1"/>
        </w:rPr>
        <w:t>s</w:t>
      </w:r>
      <w:r w:rsidRPr="00EB1E7E">
        <w:rPr>
          <w:color w:val="000000" w:themeColor="text1"/>
        </w:rPr>
        <w:t xml:space="preserve"> to replace </w:t>
      </w:r>
      <w:r w:rsidR="00E33F6C">
        <w:rPr>
          <w:color w:val="000000" w:themeColor="text1"/>
        </w:rPr>
        <w:t xml:space="preserve">existing </w:t>
      </w:r>
      <w:r w:rsidR="0043571C" w:rsidRPr="00EB1E7E">
        <w:rPr>
          <w:color w:val="000000" w:themeColor="text1"/>
        </w:rPr>
        <w:t>services</w:t>
      </w:r>
    </w:p>
    <w:p w14:paraId="07EE4FD2" w14:textId="77777777" w:rsidR="007263F0" w:rsidRDefault="007263F0" w:rsidP="009460B4">
      <w:pPr>
        <w:spacing w:after="0"/>
      </w:pPr>
    </w:p>
    <w:p w14:paraId="0C485314" w14:textId="36BCA7C3" w:rsidR="00AF4EBD" w:rsidRPr="00EB1E7E" w:rsidRDefault="00653A69" w:rsidP="00AF4EBD">
      <w:pPr>
        <w:spacing w:after="0"/>
        <w:rPr>
          <w:b/>
          <w:sz w:val="24"/>
          <w:szCs w:val="24"/>
        </w:rPr>
      </w:pPr>
      <w:r w:rsidRPr="00EB1E7E">
        <w:rPr>
          <w:b/>
          <w:sz w:val="24"/>
          <w:szCs w:val="24"/>
        </w:rPr>
        <w:t xml:space="preserve">3. </w:t>
      </w:r>
      <w:r w:rsidR="00AF4EBD" w:rsidRPr="00EB1E7E">
        <w:rPr>
          <w:b/>
          <w:sz w:val="24"/>
          <w:szCs w:val="24"/>
        </w:rPr>
        <w:t>Building relationships not referrals</w:t>
      </w:r>
    </w:p>
    <w:p w14:paraId="5C78D8C5" w14:textId="77777777" w:rsidR="007263F0" w:rsidRPr="00EB1E7E" w:rsidRDefault="007263F0" w:rsidP="007263F0">
      <w:pPr>
        <w:spacing w:after="0"/>
        <w:rPr>
          <w:b/>
          <w:sz w:val="24"/>
          <w:szCs w:val="24"/>
        </w:rPr>
      </w:pPr>
    </w:p>
    <w:p w14:paraId="3F6D1183" w14:textId="432BC7AA" w:rsidR="007263F0" w:rsidRPr="00BE1DCA" w:rsidRDefault="00A85456" w:rsidP="007263F0">
      <w:pPr>
        <w:spacing w:after="0"/>
        <w:rPr>
          <w:i/>
          <w:color w:val="000000" w:themeColor="text1"/>
        </w:rPr>
      </w:pPr>
      <w:r>
        <w:rPr>
          <w:i/>
          <w:color w:val="000000" w:themeColor="text1"/>
        </w:rPr>
        <w:t>We can start building relationships when r</w:t>
      </w:r>
      <w:r w:rsidR="007263F0" w:rsidRPr="00BE1DCA">
        <w:rPr>
          <w:i/>
          <w:color w:val="000000" w:themeColor="text1"/>
        </w:rPr>
        <w:t>eferrals to the Community Hub</w:t>
      </w:r>
      <w:r w:rsidR="00C54D54">
        <w:rPr>
          <w:i/>
          <w:color w:val="000000" w:themeColor="text1"/>
        </w:rPr>
        <w:t>s</w:t>
      </w:r>
      <w:r w:rsidR="007263F0" w:rsidRPr="00BE1DCA">
        <w:rPr>
          <w:i/>
          <w:color w:val="000000" w:themeColor="text1"/>
        </w:rPr>
        <w:t xml:space="preserve"> are</w:t>
      </w:r>
      <w:r w:rsidR="00C07BC5">
        <w:rPr>
          <w:i/>
          <w:color w:val="000000" w:themeColor="text1"/>
        </w:rPr>
        <w:t xml:space="preserve"> made by:</w:t>
      </w:r>
    </w:p>
    <w:p w14:paraId="5645A535" w14:textId="77777777" w:rsidR="007263F0" w:rsidRDefault="007263F0" w:rsidP="007263F0">
      <w:pPr>
        <w:spacing w:after="0"/>
        <w:rPr>
          <w:color w:val="000000" w:themeColor="text1"/>
        </w:rPr>
      </w:pPr>
    </w:p>
    <w:p w14:paraId="48DFBB32" w14:textId="4EE3F6D0" w:rsidR="007263F0" w:rsidRPr="00EB1E7E" w:rsidRDefault="007263F0" w:rsidP="00EB1E7E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r w:rsidRPr="00EB1E7E">
        <w:rPr>
          <w:color w:val="000000" w:themeColor="text1"/>
        </w:rPr>
        <w:t>Informing your resident (client/customer) of the Community Hub</w:t>
      </w:r>
      <w:r w:rsidR="00101FD0">
        <w:rPr>
          <w:color w:val="000000" w:themeColor="text1"/>
        </w:rPr>
        <w:t xml:space="preserve"> - </w:t>
      </w:r>
      <w:r w:rsidRPr="00EB1E7E">
        <w:rPr>
          <w:color w:val="000000" w:themeColor="text1"/>
        </w:rPr>
        <w:t xml:space="preserve">where local residents </w:t>
      </w:r>
      <w:r w:rsidR="00486667" w:rsidRPr="00EB1E7E">
        <w:rPr>
          <w:color w:val="000000" w:themeColor="text1"/>
        </w:rPr>
        <w:t xml:space="preserve">are </w:t>
      </w:r>
      <w:r w:rsidRPr="00EB1E7E">
        <w:rPr>
          <w:color w:val="000000" w:themeColor="text1"/>
        </w:rPr>
        <w:t>seek</w:t>
      </w:r>
      <w:r w:rsidR="00486667" w:rsidRPr="00EB1E7E">
        <w:rPr>
          <w:color w:val="000000" w:themeColor="text1"/>
        </w:rPr>
        <w:t>ing</w:t>
      </w:r>
      <w:r w:rsidRPr="00EB1E7E">
        <w:rPr>
          <w:color w:val="000000" w:themeColor="text1"/>
        </w:rPr>
        <w:t xml:space="preserve"> to support other people living in the </w:t>
      </w:r>
      <w:r w:rsidR="00486667" w:rsidRPr="00EB1E7E">
        <w:rPr>
          <w:color w:val="000000" w:themeColor="text1"/>
        </w:rPr>
        <w:t xml:space="preserve">local area by providing </w:t>
      </w:r>
      <w:r w:rsidRPr="00EB1E7E">
        <w:rPr>
          <w:color w:val="000000" w:themeColor="text1"/>
        </w:rPr>
        <w:t>information on local activities and services</w:t>
      </w:r>
    </w:p>
    <w:p w14:paraId="4A1D37F1" w14:textId="77777777" w:rsidR="00EB1E7E" w:rsidRPr="00EB1E7E" w:rsidRDefault="00EB1E7E" w:rsidP="00EB1E7E">
      <w:pPr>
        <w:spacing w:after="0"/>
        <w:rPr>
          <w:color w:val="000000" w:themeColor="text1"/>
        </w:rPr>
      </w:pPr>
    </w:p>
    <w:p w14:paraId="5DF7FD07" w14:textId="2E2E6AC3" w:rsidR="007263F0" w:rsidRPr="00EB1E7E" w:rsidRDefault="007263F0" w:rsidP="00EB1E7E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r w:rsidRPr="00EB1E7E">
        <w:rPr>
          <w:color w:val="000000" w:themeColor="text1"/>
        </w:rPr>
        <w:t xml:space="preserve">Advising your resident </w:t>
      </w:r>
      <w:r w:rsidR="005917D3" w:rsidRPr="00EB1E7E">
        <w:rPr>
          <w:color w:val="000000" w:themeColor="text1"/>
        </w:rPr>
        <w:t xml:space="preserve">on the charity/faith group </w:t>
      </w:r>
      <w:r w:rsidRPr="00EB1E7E">
        <w:rPr>
          <w:color w:val="000000" w:themeColor="text1"/>
        </w:rPr>
        <w:t>that</w:t>
      </w:r>
      <w:r w:rsidR="005917D3" w:rsidRPr="00EB1E7E">
        <w:rPr>
          <w:color w:val="000000" w:themeColor="text1"/>
        </w:rPr>
        <w:t xml:space="preserve"> the Hub is based at</w:t>
      </w:r>
      <w:r w:rsidR="00101FD0">
        <w:rPr>
          <w:color w:val="000000" w:themeColor="text1"/>
        </w:rPr>
        <w:t xml:space="preserve"> - l</w:t>
      </w:r>
      <w:r w:rsidR="005917D3" w:rsidRPr="00EB1E7E">
        <w:rPr>
          <w:color w:val="000000" w:themeColor="text1"/>
        </w:rPr>
        <w:t>et them know</w:t>
      </w:r>
      <w:r w:rsidRPr="00EB1E7E">
        <w:rPr>
          <w:color w:val="000000" w:themeColor="text1"/>
        </w:rPr>
        <w:t xml:space="preserve"> </w:t>
      </w:r>
      <w:r w:rsidR="00486667" w:rsidRPr="00EB1E7E">
        <w:rPr>
          <w:color w:val="000000" w:themeColor="text1"/>
        </w:rPr>
        <w:t>they can</w:t>
      </w:r>
      <w:r w:rsidRPr="00EB1E7E">
        <w:rPr>
          <w:color w:val="000000" w:themeColor="text1"/>
        </w:rPr>
        <w:t xml:space="preserve"> speak to paid practitioners</w:t>
      </w:r>
      <w:r w:rsidR="00C54D54">
        <w:rPr>
          <w:color w:val="000000" w:themeColor="text1"/>
        </w:rPr>
        <w:t xml:space="preserve"> a</w:t>
      </w:r>
      <w:r w:rsidR="003C14C2">
        <w:rPr>
          <w:color w:val="000000" w:themeColor="text1"/>
        </w:rPr>
        <w:t xml:space="preserve">nd local </w:t>
      </w:r>
      <w:r w:rsidR="00C54D54">
        <w:rPr>
          <w:color w:val="000000" w:themeColor="text1"/>
        </w:rPr>
        <w:t>volunteers</w:t>
      </w:r>
      <w:r w:rsidR="00486667" w:rsidRPr="00EB1E7E">
        <w:rPr>
          <w:color w:val="000000" w:themeColor="text1"/>
        </w:rPr>
        <w:t xml:space="preserve"> in confidence</w:t>
      </w:r>
      <w:r w:rsidR="00101FD0">
        <w:rPr>
          <w:color w:val="000000" w:themeColor="text1"/>
        </w:rPr>
        <w:t xml:space="preserve"> </w:t>
      </w:r>
      <w:r w:rsidR="00486667" w:rsidRPr="00EB1E7E">
        <w:rPr>
          <w:color w:val="000000" w:themeColor="text1"/>
        </w:rPr>
        <w:t>who</w:t>
      </w:r>
      <w:r w:rsidR="00961481">
        <w:rPr>
          <w:color w:val="000000" w:themeColor="text1"/>
        </w:rPr>
        <w:t xml:space="preserve"> aim</w:t>
      </w:r>
      <w:r w:rsidR="003C14C2">
        <w:rPr>
          <w:color w:val="000000" w:themeColor="text1"/>
        </w:rPr>
        <w:t>, in their roles,</w:t>
      </w:r>
      <w:r w:rsidR="00961481">
        <w:rPr>
          <w:color w:val="000000" w:themeColor="text1"/>
        </w:rPr>
        <w:t xml:space="preserve"> to</w:t>
      </w:r>
      <w:r w:rsidR="00486667" w:rsidRPr="00EB1E7E">
        <w:rPr>
          <w:color w:val="000000" w:themeColor="text1"/>
        </w:rPr>
        <w:t xml:space="preserve"> support and work with residents at the </w:t>
      </w:r>
      <w:r w:rsidR="00101FD0">
        <w:rPr>
          <w:color w:val="000000" w:themeColor="text1"/>
        </w:rPr>
        <w:t>C</w:t>
      </w:r>
      <w:r w:rsidR="00486667" w:rsidRPr="00EB1E7E">
        <w:rPr>
          <w:color w:val="000000" w:themeColor="text1"/>
        </w:rPr>
        <w:t xml:space="preserve">ommunity </w:t>
      </w:r>
      <w:r w:rsidR="00101FD0">
        <w:rPr>
          <w:color w:val="000000" w:themeColor="text1"/>
        </w:rPr>
        <w:t>H</w:t>
      </w:r>
      <w:r w:rsidR="00486667" w:rsidRPr="00EB1E7E">
        <w:rPr>
          <w:color w:val="000000" w:themeColor="text1"/>
        </w:rPr>
        <w:t>ub</w:t>
      </w:r>
    </w:p>
    <w:p w14:paraId="0DB2E5A4" w14:textId="77777777" w:rsidR="00EB1E7E" w:rsidRPr="00EB1E7E" w:rsidRDefault="00EB1E7E" w:rsidP="00EB1E7E">
      <w:pPr>
        <w:spacing w:after="0"/>
        <w:rPr>
          <w:color w:val="000000" w:themeColor="text1"/>
        </w:rPr>
      </w:pPr>
    </w:p>
    <w:p w14:paraId="23206DDE" w14:textId="65491EE6" w:rsidR="00486667" w:rsidRPr="00EB1E7E" w:rsidRDefault="00486667" w:rsidP="00EB1E7E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r w:rsidRPr="00EB1E7E">
        <w:rPr>
          <w:color w:val="000000" w:themeColor="text1"/>
        </w:rPr>
        <w:t>Attend</w:t>
      </w:r>
      <w:r w:rsidR="00C07BC5">
        <w:rPr>
          <w:color w:val="000000" w:themeColor="text1"/>
        </w:rPr>
        <w:t>ing</w:t>
      </w:r>
      <w:r w:rsidRPr="00EB1E7E">
        <w:rPr>
          <w:color w:val="000000" w:themeColor="text1"/>
        </w:rPr>
        <w:t xml:space="preserve"> the Community Hub with your resident</w:t>
      </w:r>
      <w:r w:rsidR="00E32BFF">
        <w:rPr>
          <w:color w:val="000000" w:themeColor="text1"/>
        </w:rPr>
        <w:t xml:space="preserve"> - </w:t>
      </w:r>
      <w:r w:rsidRPr="00EB1E7E">
        <w:rPr>
          <w:color w:val="000000" w:themeColor="text1"/>
        </w:rPr>
        <w:t>this can help build trust and confidence whilst breaking down barriers</w:t>
      </w:r>
    </w:p>
    <w:p w14:paraId="2E239459" w14:textId="77777777" w:rsidR="005917D3" w:rsidRDefault="005917D3" w:rsidP="005917D3">
      <w:pPr>
        <w:spacing w:after="0"/>
        <w:rPr>
          <w:color w:val="000000" w:themeColor="text1"/>
        </w:rPr>
      </w:pPr>
    </w:p>
    <w:p w14:paraId="317189F2" w14:textId="77777777" w:rsidR="005917D3" w:rsidRPr="003C1946" w:rsidRDefault="009C00F9" w:rsidP="005917D3">
      <w:pPr>
        <w:spacing w:after="0"/>
        <w:rPr>
          <w:i/>
        </w:rPr>
      </w:pPr>
      <w:r w:rsidRPr="003C1946">
        <w:rPr>
          <w:i/>
        </w:rPr>
        <w:lastRenderedPageBreak/>
        <w:t xml:space="preserve">Who can refer, signpost, </w:t>
      </w:r>
      <w:r w:rsidR="00753946" w:rsidRPr="003C1946">
        <w:rPr>
          <w:i/>
        </w:rPr>
        <w:t>or just come along to their Community Hub</w:t>
      </w:r>
      <w:r w:rsidRPr="003C1946">
        <w:rPr>
          <w:i/>
        </w:rPr>
        <w:t>?</w:t>
      </w:r>
    </w:p>
    <w:p w14:paraId="6BC5D6B0" w14:textId="77777777" w:rsidR="003C1946" w:rsidRPr="00753946" w:rsidRDefault="003C1946" w:rsidP="005917D3">
      <w:pPr>
        <w:spacing w:after="0"/>
      </w:pPr>
    </w:p>
    <w:p w14:paraId="1FCA0C9C" w14:textId="3C51A1ED" w:rsidR="005917D3" w:rsidRPr="003C1946" w:rsidRDefault="005917D3" w:rsidP="003C1946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3C1946">
        <w:rPr>
          <w:color w:val="000000" w:themeColor="text1"/>
        </w:rPr>
        <w:t>Community Hubs are fully inclusive</w:t>
      </w:r>
      <w:r w:rsidR="0030404E">
        <w:rPr>
          <w:color w:val="000000" w:themeColor="text1"/>
        </w:rPr>
        <w:t xml:space="preserve"> - </w:t>
      </w:r>
      <w:r w:rsidRPr="003C1946">
        <w:rPr>
          <w:color w:val="000000" w:themeColor="text1"/>
        </w:rPr>
        <w:t>any resident or paid practitioner can drop into a Community Hub to learn what it’s about and meet new people and paid workers who are placed based in the area</w:t>
      </w:r>
    </w:p>
    <w:p w14:paraId="25527B17" w14:textId="77777777" w:rsidR="009C00F9" w:rsidRDefault="009C00F9" w:rsidP="005917D3">
      <w:pPr>
        <w:spacing w:after="0"/>
        <w:rPr>
          <w:color w:val="FF0000"/>
        </w:rPr>
      </w:pPr>
    </w:p>
    <w:p w14:paraId="6848E098" w14:textId="6C36728A" w:rsidR="008E4E52" w:rsidRPr="00EB748B" w:rsidRDefault="008E4E52" w:rsidP="00EB748B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EB748B">
        <w:rPr>
          <w:color w:val="000000" w:themeColor="text1"/>
        </w:rPr>
        <w:t xml:space="preserve">Community Hubs seek to build on the strengths within </w:t>
      </w:r>
      <w:r w:rsidR="0030404E">
        <w:rPr>
          <w:color w:val="000000" w:themeColor="text1"/>
        </w:rPr>
        <w:t>c</w:t>
      </w:r>
      <w:r w:rsidRPr="00EB748B">
        <w:rPr>
          <w:color w:val="000000" w:themeColor="text1"/>
        </w:rPr>
        <w:t>ommunit</w:t>
      </w:r>
      <w:r w:rsidR="0030404E">
        <w:rPr>
          <w:color w:val="000000" w:themeColor="text1"/>
        </w:rPr>
        <w:t>ies</w:t>
      </w:r>
      <w:r w:rsidRPr="00EB748B">
        <w:rPr>
          <w:color w:val="000000" w:themeColor="text1"/>
        </w:rPr>
        <w:t xml:space="preserve"> and lean into the broad range of contacts and other assets in the local area. Residents can expect a listening ear but will be unequivocally informed of the capacities of the Community Hub in certain respects</w:t>
      </w:r>
    </w:p>
    <w:p w14:paraId="4EDD0CBF" w14:textId="77777777" w:rsidR="009C00F9" w:rsidRDefault="009C00F9" w:rsidP="005917D3">
      <w:pPr>
        <w:spacing w:after="0"/>
        <w:rPr>
          <w:color w:val="000000" w:themeColor="text1"/>
        </w:rPr>
      </w:pPr>
    </w:p>
    <w:p w14:paraId="113ED9F3" w14:textId="68D5C6BF" w:rsidR="008E4E52" w:rsidRPr="00EB748B" w:rsidRDefault="008E4E52" w:rsidP="00EB748B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EB748B">
        <w:rPr>
          <w:color w:val="000000" w:themeColor="text1"/>
        </w:rPr>
        <w:t xml:space="preserve">Where appropriate, </w:t>
      </w:r>
      <w:r w:rsidR="00B5210B">
        <w:rPr>
          <w:color w:val="000000" w:themeColor="text1"/>
        </w:rPr>
        <w:t>r</w:t>
      </w:r>
      <w:r w:rsidRPr="00EB748B">
        <w:rPr>
          <w:color w:val="000000" w:themeColor="text1"/>
        </w:rPr>
        <w:t xml:space="preserve">esidents will be offered signposting into other services/organisations that are better equipped to offer information, advice and guidance </w:t>
      </w:r>
      <w:r w:rsidR="00B5210B">
        <w:rPr>
          <w:color w:val="000000" w:themeColor="text1"/>
        </w:rPr>
        <w:t xml:space="preserve"> - i.e. </w:t>
      </w:r>
      <w:r w:rsidRPr="00EB748B">
        <w:rPr>
          <w:color w:val="000000" w:themeColor="text1"/>
        </w:rPr>
        <w:t>Citizens Advice, ACAS, Crisis</w:t>
      </w:r>
      <w:r w:rsidR="00B5210B">
        <w:rPr>
          <w:color w:val="000000" w:themeColor="text1"/>
        </w:rPr>
        <w:t xml:space="preserve"> etc</w:t>
      </w:r>
    </w:p>
    <w:p w14:paraId="333BFB99" w14:textId="77777777" w:rsidR="00EB748B" w:rsidRDefault="00EB748B" w:rsidP="005917D3">
      <w:pPr>
        <w:spacing w:after="0"/>
        <w:rPr>
          <w:color w:val="FF0000"/>
        </w:rPr>
      </w:pPr>
    </w:p>
    <w:p w14:paraId="1F2FD887" w14:textId="77777777" w:rsidR="00EB748B" w:rsidRPr="003C1946" w:rsidRDefault="00EB748B" w:rsidP="00EB748B">
      <w:pPr>
        <w:spacing w:after="0"/>
        <w:rPr>
          <w:i/>
        </w:rPr>
      </w:pPr>
      <w:r w:rsidRPr="003C1946">
        <w:rPr>
          <w:i/>
        </w:rPr>
        <w:t>What would be an inappropriate referral, something that a Community Hub is not designed for?</w:t>
      </w:r>
    </w:p>
    <w:p w14:paraId="09927283" w14:textId="77777777" w:rsidR="00EB748B" w:rsidRDefault="00EB748B" w:rsidP="005917D3">
      <w:pPr>
        <w:spacing w:after="0"/>
        <w:rPr>
          <w:color w:val="FF0000"/>
        </w:rPr>
      </w:pPr>
    </w:p>
    <w:p w14:paraId="523FB94C" w14:textId="77777777" w:rsidR="005917D3" w:rsidRPr="002655F4" w:rsidRDefault="005917D3" w:rsidP="002655F4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 w:rsidRPr="002655F4">
        <w:rPr>
          <w:color w:val="000000" w:themeColor="text1"/>
        </w:rPr>
        <w:t xml:space="preserve">Community Hubs are not offering a form filling service and can’t guarantee a fully insured welfare rights officer will be there to support with a comprehensive application </w:t>
      </w:r>
    </w:p>
    <w:p w14:paraId="71B46ACE" w14:textId="77777777" w:rsidR="002655F4" w:rsidRDefault="002655F4" w:rsidP="002655F4">
      <w:pPr>
        <w:spacing w:after="0"/>
        <w:rPr>
          <w:color w:val="000000" w:themeColor="text1"/>
        </w:rPr>
      </w:pPr>
    </w:p>
    <w:p w14:paraId="317244A4" w14:textId="266F95D4" w:rsidR="005917D3" w:rsidRPr="002655F4" w:rsidRDefault="005917D3" w:rsidP="002655F4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 w:rsidRPr="002655F4">
        <w:rPr>
          <w:color w:val="000000" w:themeColor="text1"/>
        </w:rPr>
        <w:t xml:space="preserve">Community Hubs can’t help people </w:t>
      </w:r>
      <w:r w:rsidR="00D26887">
        <w:rPr>
          <w:color w:val="000000" w:themeColor="text1"/>
        </w:rPr>
        <w:t>on issues that fall outside</w:t>
      </w:r>
      <w:r w:rsidRPr="002655F4">
        <w:rPr>
          <w:color w:val="000000" w:themeColor="text1"/>
        </w:rPr>
        <w:t xml:space="preserve"> Health and Social Care and V</w:t>
      </w:r>
      <w:r w:rsidR="0004277B">
        <w:rPr>
          <w:color w:val="000000" w:themeColor="text1"/>
        </w:rPr>
        <w:t>CS</w:t>
      </w:r>
      <w:r w:rsidRPr="002655F4">
        <w:rPr>
          <w:color w:val="000000" w:themeColor="text1"/>
        </w:rPr>
        <w:t xml:space="preserve"> funding</w:t>
      </w:r>
      <w:r w:rsidR="0004277B">
        <w:rPr>
          <w:color w:val="000000" w:themeColor="text1"/>
        </w:rPr>
        <w:t xml:space="preserve"> remits</w:t>
      </w:r>
      <w:r w:rsidRPr="002655F4">
        <w:rPr>
          <w:color w:val="000000" w:themeColor="text1"/>
        </w:rPr>
        <w:t xml:space="preserve">. </w:t>
      </w:r>
      <w:r w:rsidR="00D26887">
        <w:rPr>
          <w:color w:val="000000" w:themeColor="text1"/>
        </w:rPr>
        <w:t>T</w:t>
      </w:r>
      <w:r w:rsidR="00B627AE">
        <w:rPr>
          <w:color w:val="000000" w:themeColor="text1"/>
        </w:rPr>
        <w:t>wo</w:t>
      </w:r>
      <w:r w:rsidRPr="002655F4">
        <w:rPr>
          <w:color w:val="000000" w:themeColor="text1"/>
        </w:rPr>
        <w:t xml:space="preserve"> </w:t>
      </w:r>
      <w:r w:rsidR="00D26887">
        <w:rPr>
          <w:color w:val="000000" w:themeColor="text1"/>
        </w:rPr>
        <w:t xml:space="preserve">cases of </w:t>
      </w:r>
      <w:r w:rsidRPr="002655F4">
        <w:rPr>
          <w:color w:val="000000" w:themeColor="text1"/>
        </w:rPr>
        <w:t>the Community Hub ha</w:t>
      </w:r>
      <w:r w:rsidR="00D26887">
        <w:rPr>
          <w:color w:val="000000" w:themeColor="text1"/>
        </w:rPr>
        <w:t>ving to</w:t>
      </w:r>
      <w:r w:rsidRPr="002655F4">
        <w:rPr>
          <w:color w:val="000000" w:themeColor="text1"/>
        </w:rPr>
        <w:t xml:space="preserve"> kindly pass people on</w:t>
      </w:r>
      <w:r w:rsidR="00D26887">
        <w:rPr>
          <w:color w:val="000000" w:themeColor="text1"/>
        </w:rPr>
        <w:t xml:space="preserve"> are:</w:t>
      </w:r>
    </w:p>
    <w:p w14:paraId="07C01F53" w14:textId="77777777" w:rsidR="005917D3" w:rsidRPr="008E4E52" w:rsidRDefault="005917D3" w:rsidP="005917D3">
      <w:pPr>
        <w:spacing w:after="0"/>
        <w:rPr>
          <w:color w:val="000000" w:themeColor="text1"/>
        </w:rPr>
      </w:pPr>
    </w:p>
    <w:p w14:paraId="707E5B29" w14:textId="77777777" w:rsidR="005917D3" w:rsidRPr="008E4E52" w:rsidRDefault="005917D3" w:rsidP="002655F4">
      <w:pPr>
        <w:spacing w:after="0"/>
        <w:ind w:left="720"/>
        <w:rPr>
          <w:color w:val="000000" w:themeColor="text1"/>
        </w:rPr>
      </w:pPr>
      <w:r w:rsidRPr="008E4E52">
        <w:rPr>
          <w:color w:val="000000" w:themeColor="text1"/>
        </w:rPr>
        <w:t>Example 1: A person who may request a fully funded translator to deal with financial affairs</w:t>
      </w:r>
    </w:p>
    <w:p w14:paraId="3A7C33F3" w14:textId="77777777" w:rsidR="005917D3" w:rsidRPr="008E4E52" w:rsidRDefault="005917D3" w:rsidP="002655F4">
      <w:pPr>
        <w:spacing w:after="0"/>
        <w:ind w:left="720"/>
        <w:rPr>
          <w:color w:val="000000" w:themeColor="text1"/>
        </w:rPr>
      </w:pPr>
      <w:r w:rsidRPr="008E4E52">
        <w:rPr>
          <w:color w:val="000000" w:themeColor="text1"/>
        </w:rPr>
        <w:t xml:space="preserve">Example 2: A person who has been sent to have meet someone who can attend court appointments and mediation appointments </w:t>
      </w:r>
      <w:r w:rsidR="008E4E52" w:rsidRPr="008E4E52">
        <w:rPr>
          <w:color w:val="000000" w:themeColor="text1"/>
        </w:rPr>
        <w:t xml:space="preserve">with them </w:t>
      </w:r>
    </w:p>
    <w:p w14:paraId="49E1B516" w14:textId="77777777" w:rsidR="008E4E52" w:rsidRPr="00CE1C7E" w:rsidRDefault="008E4E52" w:rsidP="005917D3">
      <w:pPr>
        <w:spacing w:after="0"/>
        <w:rPr>
          <w:rFonts w:cstheme="minorHAnsi"/>
          <w:color w:val="FF0000"/>
        </w:rPr>
      </w:pPr>
    </w:p>
    <w:p w14:paraId="07969194" w14:textId="5B2241D3" w:rsidR="00653A69" w:rsidRPr="00CE1C7E" w:rsidRDefault="00CE1C7E" w:rsidP="00653A69">
      <w:pPr>
        <w:pStyle w:val="Heading2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</w:pPr>
      <w:r w:rsidRPr="00CE1C7E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>4</w:t>
      </w:r>
      <w:r w:rsidR="00EB748B" w:rsidRPr="00CE1C7E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 xml:space="preserve">. </w:t>
      </w:r>
      <w:r w:rsidR="00653A69" w:rsidRPr="00CE1C7E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 xml:space="preserve">Conclusion - </w:t>
      </w:r>
      <w:r w:rsidR="00653A69" w:rsidRPr="00CE1C7E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>Focusing our goals on improving the health and wellbeing of residents in Croydon</w:t>
      </w:r>
    </w:p>
    <w:p w14:paraId="365B87A6" w14:textId="77777777" w:rsidR="00653A69" w:rsidRPr="007263F0" w:rsidRDefault="00653A69" w:rsidP="00653A69">
      <w:pPr>
        <w:spacing w:after="0"/>
        <w:rPr>
          <w:lang w:val="en-US"/>
        </w:rPr>
      </w:pPr>
    </w:p>
    <w:p w14:paraId="706FBD93" w14:textId="77777777" w:rsidR="00653A69" w:rsidRDefault="00653A69" w:rsidP="00653A69">
      <w:pPr>
        <w:pStyle w:val="Heading2"/>
        <w:numPr>
          <w:ilvl w:val="0"/>
          <w:numId w:val="0"/>
        </w:numPr>
      </w:pPr>
      <w:r>
        <w:rPr>
          <w:noProof/>
          <w:lang w:eastAsia="en-GB"/>
        </w:rPr>
        <w:drawing>
          <wp:inline distT="0" distB="0" distL="0" distR="0" wp14:anchorId="55F80F44" wp14:editId="286E90A7">
            <wp:extent cx="5731510" cy="155384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5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C89B2E" w14:textId="77777777" w:rsidR="00653A69" w:rsidRDefault="00653A69" w:rsidP="00653A69">
      <w:pPr>
        <w:spacing w:after="0"/>
      </w:pPr>
    </w:p>
    <w:p w14:paraId="6FF5E10A" w14:textId="77777777" w:rsidR="005917D3" w:rsidRDefault="005917D3" w:rsidP="005917D3">
      <w:pPr>
        <w:spacing w:after="0"/>
        <w:rPr>
          <w:color w:val="000000" w:themeColor="text1"/>
        </w:rPr>
      </w:pPr>
    </w:p>
    <w:p w14:paraId="46C738B7" w14:textId="77777777" w:rsidR="005917D3" w:rsidRPr="00EB1E7E" w:rsidRDefault="001C1E53" w:rsidP="005917D3">
      <w:pPr>
        <w:spacing w:after="0"/>
        <w:rPr>
          <w:b/>
          <w:color w:val="000000" w:themeColor="text1"/>
          <w:sz w:val="24"/>
          <w:szCs w:val="24"/>
        </w:rPr>
      </w:pPr>
      <w:r w:rsidRPr="00EB1E7E">
        <w:rPr>
          <w:b/>
          <w:color w:val="000000" w:themeColor="text1"/>
          <w:sz w:val="24"/>
          <w:szCs w:val="24"/>
        </w:rPr>
        <w:t>James Moore</w:t>
      </w:r>
    </w:p>
    <w:p w14:paraId="63D79686" w14:textId="77777777" w:rsidR="001C1E53" w:rsidRPr="00EB1E7E" w:rsidRDefault="001C1E53" w:rsidP="005917D3">
      <w:pPr>
        <w:spacing w:after="0"/>
        <w:rPr>
          <w:b/>
          <w:color w:val="000000" w:themeColor="text1"/>
          <w:sz w:val="24"/>
          <w:szCs w:val="24"/>
        </w:rPr>
      </w:pPr>
      <w:r w:rsidRPr="00EB1E7E">
        <w:rPr>
          <w:b/>
          <w:color w:val="000000" w:themeColor="text1"/>
          <w:sz w:val="24"/>
          <w:szCs w:val="24"/>
        </w:rPr>
        <w:t>Community Facilitator</w:t>
      </w:r>
    </w:p>
    <w:p w14:paraId="60B68EE9" w14:textId="77777777" w:rsidR="007263F0" w:rsidRPr="000E01B2" w:rsidRDefault="001C1E53" w:rsidP="000E01B2">
      <w:pPr>
        <w:spacing w:after="0"/>
        <w:rPr>
          <w:b/>
          <w:color w:val="000000" w:themeColor="text1"/>
          <w:sz w:val="24"/>
          <w:szCs w:val="24"/>
        </w:rPr>
      </w:pPr>
      <w:r w:rsidRPr="00EB1E7E">
        <w:rPr>
          <w:b/>
          <w:color w:val="000000" w:themeColor="text1"/>
          <w:sz w:val="24"/>
          <w:szCs w:val="24"/>
        </w:rPr>
        <w:t>Croydon Voluntary Action</w:t>
      </w:r>
      <w:bookmarkStart w:id="1" w:name="_GoBack"/>
      <w:bookmarkEnd w:id="1"/>
    </w:p>
    <w:sectPr w:rsidR="007263F0" w:rsidRPr="000E0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777"/>
    <w:multiLevelType w:val="hybridMultilevel"/>
    <w:tmpl w:val="15967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4CE"/>
    <w:multiLevelType w:val="hybridMultilevel"/>
    <w:tmpl w:val="BF26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F4184"/>
    <w:multiLevelType w:val="hybridMultilevel"/>
    <w:tmpl w:val="402C3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52DB"/>
    <w:multiLevelType w:val="hybridMultilevel"/>
    <w:tmpl w:val="1FD0AF24"/>
    <w:lvl w:ilvl="0" w:tplc="E85E0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75238"/>
    <w:multiLevelType w:val="hybridMultilevel"/>
    <w:tmpl w:val="4D2CF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D761A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BB014D"/>
    <w:multiLevelType w:val="hybridMultilevel"/>
    <w:tmpl w:val="3672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F0"/>
    <w:rsid w:val="0004277B"/>
    <w:rsid w:val="000E01B2"/>
    <w:rsid w:val="00101FD0"/>
    <w:rsid w:val="00171A92"/>
    <w:rsid w:val="00175A08"/>
    <w:rsid w:val="001C1E53"/>
    <w:rsid w:val="002655F4"/>
    <w:rsid w:val="002A3C39"/>
    <w:rsid w:val="002D7A23"/>
    <w:rsid w:val="0030404E"/>
    <w:rsid w:val="003C14C2"/>
    <w:rsid w:val="003C1946"/>
    <w:rsid w:val="0043571C"/>
    <w:rsid w:val="00444C92"/>
    <w:rsid w:val="00486667"/>
    <w:rsid w:val="005917D3"/>
    <w:rsid w:val="00653A69"/>
    <w:rsid w:val="00677AD0"/>
    <w:rsid w:val="00681724"/>
    <w:rsid w:val="007263F0"/>
    <w:rsid w:val="00753946"/>
    <w:rsid w:val="008E4E52"/>
    <w:rsid w:val="009332F2"/>
    <w:rsid w:val="009460B4"/>
    <w:rsid w:val="00961481"/>
    <w:rsid w:val="009C00F9"/>
    <w:rsid w:val="009F173E"/>
    <w:rsid w:val="00A85456"/>
    <w:rsid w:val="00AF4EBD"/>
    <w:rsid w:val="00B5210B"/>
    <w:rsid w:val="00B627AE"/>
    <w:rsid w:val="00BB0B39"/>
    <w:rsid w:val="00BC777D"/>
    <w:rsid w:val="00BC7C95"/>
    <w:rsid w:val="00BE1DCA"/>
    <w:rsid w:val="00C07BC5"/>
    <w:rsid w:val="00C54D54"/>
    <w:rsid w:val="00CE1C7E"/>
    <w:rsid w:val="00D26887"/>
    <w:rsid w:val="00D37CB3"/>
    <w:rsid w:val="00E32BFF"/>
    <w:rsid w:val="00E33F6C"/>
    <w:rsid w:val="00EB1E7E"/>
    <w:rsid w:val="00EB748B"/>
    <w:rsid w:val="00EF2E7A"/>
    <w:rsid w:val="00F9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2260"/>
  <w15:chartTrackingRefBased/>
  <w15:docId w15:val="{6E9DBF18-7C16-42CF-8C04-EF8ECF46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3F0"/>
  </w:style>
  <w:style w:type="paragraph" w:styleId="Heading1">
    <w:name w:val="heading 1"/>
    <w:basedOn w:val="Normal"/>
    <w:next w:val="Normal"/>
    <w:link w:val="Heading1Char"/>
    <w:uiPriority w:val="9"/>
    <w:qFormat/>
    <w:rsid w:val="007263F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3F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3F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3F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3F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3F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3F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3F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3F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63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63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3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3F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3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3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3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3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26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4663D5851D48BAF6908D1268BF1B" ma:contentTypeVersion="18" ma:contentTypeDescription="Create a new document." ma:contentTypeScope="" ma:versionID="b3b94df5189ea11914ef1c3e41a0ba97">
  <xsd:schema xmlns:xsd="http://www.w3.org/2001/XMLSchema" xmlns:xs="http://www.w3.org/2001/XMLSchema" xmlns:p="http://schemas.microsoft.com/office/2006/metadata/properties" xmlns:ns2="8b1fb855-d142-46da-a0b1-76cb3258ba23" xmlns:ns3="210d713b-adb0-453b-9583-a37326b01e47" xmlns:ns4="c07b9909-c34e-4d49-be0d-db31e06a0a39" targetNamespace="http://schemas.microsoft.com/office/2006/metadata/properties" ma:root="true" ma:fieldsID="2d3b73b762803d01ac12a5787af825dc" ns2:_="" ns3:_="" ns4:_="">
    <xsd:import namespace="8b1fb855-d142-46da-a0b1-76cb3258ba23"/>
    <xsd:import namespace="210d713b-adb0-453b-9583-a37326b01e47"/>
    <xsd:import namespace="c07b9909-c34e-4d49-be0d-db31e06a0a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ed8e1d3d-9970-4ab6-b3af-ca5ef497b298}" ma:internalName="TaxCatchAll" ma:showField="CatchAllData" ma:web="8b1fb855-d142-46da-a0b1-76cb3258b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13b-adb0-453b-9583-a37326b01e4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9909-c34e-4d49-be0d-db31e06a0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1ea754-2dd3-4dc1-b40a-1bea1f975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fb855-d142-46da-a0b1-76cb3258ba23" xsi:nil="true"/>
    <lcf76f155ced4ddcb4097134ff3c332f xmlns="c07b9909-c34e-4d49-be0d-db31e06a0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EA8E71-5BA8-4D0B-9BB2-8D9C8AF2C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210d713b-adb0-453b-9583-a37326b01e47"/>
    <ds:schemaRef ds:uri="c07b9909-c34e-4d49-be0d-db31e06a0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B0DFD-0252-406A-9088-9AB0802D7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AB425-F1DA-4EA5-A62F-4F2C5A690C46}">
  <ds:schemaRefs>
    <ds:schemaRef ds:uri="http://schemas.microsoft.com/office/2006/documentManagement/types"/>
    <ds:schemaRef ds:uri="http://purl.org/dc/dcmitype/"/>
    <ds:schemaRef ds:uri="c07b9909-c34e-4d49-be0d-db31e06a0a39"/>
    <ds:schemaRef ds:uri="http://schemas.microsoft.com/office/2006/metadata/properties"/>
    <ds:schemaRef ds:uri="210d713b-adb0-453b-9583-a37326b01e47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b1fb855-d142-46da-a0b1-76cb3258ba2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Moore</dc:creator>
  <cp:keywords/>
  <dc:description/>
  <cp:lastModifiedBy>Steve Phaure</cp:lastModifiedBy>
  <cp:revision>5</cp:revision>
  <cp:lastPrinted>2023-07-21T10:26:00Z</cp:lastPrinted>
  <dcterms:created xsi:type="dcterms:W3CDTF">2023-07-21T10:10:00Z</dcterms:created>
  <dcterms:modified xsi:type="dcterms:W3CDTF">2023-07-21T12:29:00Z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0x010100CE144663D5851D48BAF6908D1268BF1B</vt:lpwstr>
  </property>
  <property fmtid="{D5CDD505-2E9C-101B-9397-08002B2CF9AE}" pid="3" name="MediaServiceImageTags">
    <vt:lpwstr/>
  </property>
</Properties>
</file>